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D2E6F3" w14:textId="77777777" w:rsidR="00AE4EA5" w:rsidRPr="001C5491" w:rsidRDefault="00AE4EA5" w:rsidP="001C5491">
      <w:pPr>
        <w:pStyle w:val="Default"/>
        <w:spacing w:after="240"/>
        <w:jc w:val="center"/>
        <w:rPr>
          <w:b/>
          <w:bCs w:val="0"/>
        </w:rPr>
      </w:pPr>
      <w:bookmarkStart w:id="0" w:name="_GoBack"/>
      <w:bookmarkEnd w:id="0"/>
      <w:r w:rsidRPr="001C5491">
        <w:rPr>
          <w:b/>
        </w:rPr>
        <w:t>RELAZIONE ILLUSTRATIVA</w:t>
      </w:r>
    </w:p>
    <w:p w14:paraId="50F2D710" w14:textId="2F27EC35" w:rsidR="006B0C1D" w:rsidRDefault="00AE4EA5" w:rsidP="006B0C1D">
      <w:pPr>
        <w:pStyle w:val="Default"/>
        <w:jc w:val="both"/>
        <w:rPr>
          <w:color w:val="000000" w:themeColor="text1"/>
        </w:rPr>
      </w:pPr>
      <w:r w:rsidRPr="001C5491">
        <w:t>Con legge n. 117 del 4 ottobre 2019</w:t>
      </w:r>
      <w:r w:rsidRPr="001C5491">
        <w:rPr>
          <w:color w:val="000000" w:themeColor="text1"/>
        </w:rPr>
        <w:t xml:space="preserve"> - legge di delegazione europea 2018</w:t>
      </w:r>
      <w:r w:rsidR="000A1720">
        <w:t xml:space="preserve"> - </w:t>
      </w:r>
      <w:r w:rsidRPr="001C5491">
        <w:t xml:space="preserve"> il Governo è delegato al recepimento delle direttive europee e all’attuazione di altri atti dell’Unione europea con l’adozione dei necessari decreti legislativi.</w:t>
      </w:r>
      <w:r w:rsidRPr="001C5491">
        <w:rPr>
          <w:color w:val="000000" w:themeColor="text1"/>
        </w:rPr>
        <w:t xml:space="preserve"> </w:t>
      </w:r>
    </w:p>
    <w:p w14:paraId="299D8C90" w14:textId="5AF18886" w:rsidR="0099751F" w:rsidRDefault="0099751F" w:rsidP="006B0C1D">
      <w:pPr>
        <w:pStyle w:val="Default"/>
        <w:jc w:val="both"/>
        <w:rPr>
          <w:color w:val="000000" w:themeColor="text1"/>
        </w:rPr>
      </w:pPr>
      <w:r>
        <w:rPr>
          <w:color w:val="000000" w:themeColor="text1"/>
        </w:rPr>
        <w:t>In base all’</w:t>
      </w:r>
      <w:r w:rsidRPr="0099751F">
        <w:rPr>
          <w:color w:val="000000" w:themeColor="text1"/>
        </w:rPr>
        <w:t>articolo 1 comma 3</w:t>
      </w:r>
      <w:r>
        <w:rPr>
          <w:color w:val="000000" w:themeColor="text1"/>
        </w:rPr>
        <w:t xml:space="preserve"> </w:t>
      </w:r>
      <w:r w:rsidRPr="0099751F">
        <w:rPr>
          <w:color w:val="000000" w:themeColor="text1"/>
        </w:rPr>
        <w:t xml:space="preserve">della legge 24 aprile 2020, n. 27, di conversione in legge, con modificazioni, del decreto-legge 17 marzo 2020, n.18 </w:t>
      </w:r>
      <w:r>
        <w:rPr>
          <w:color w:val="000000" w:themeColor="text1"/>
        </w:rPr>
        <w:t xml:space="preserve">recante </w:t>
      </w:r>
      <w:r w:rsidRPr="0099751F">
        <w:rPr>
          <w:color w:val="000000" w:themeColor="text1"/>
        </w:rPr>
        <w:t>Misure di potenziamento del Servizio sanitario nazionale e di sostegno economico per famiglie, lavoratori e imprese connesse all'emerg</w:t>
      </w:r>
      <w:r>
        <w:rPr>
          <w:color w:val="000000" w:themeColor="text1"/>
        </w:rPr>
        <w:t>enza epidemiologica da COVID-19</w:t>
      </w:r>
      <w:r w:rsidRPr="0099751F">
        <w:rPr>
          <w:color w:val="000000" w:themeColor="text1"/>
        </w:rPr>
        <w:t xml:space="preserve"> i termini per l’adozione dei decreti legislativi con scadenza tra il 10 febbraio 2020 e il 31 agosto 2020, che siano scaduti alla data di entrata in vigore della legge, sono prorogati di tre mesi, decorrenti dalla data di entrata in vigore della </w:t>
      </w:r>
      <w:r>
        <w:rPr>
          <w:color w:val="000000" w:themeColor="text1"/>
        </w:rPr>
        <w:t xml:space="preserve">medesima. Pertanto la scadenza della delega al Governo per adottare il decreto legislativo di recepimento della </w:t>
      </w:r>
      <w:r>
        <w:t>d</w:t>
      </w:r>
      <w:r w:rsidRPr="000A1720">
        <w:t>irettiva (UE) 2018/958</w:t>
      </w:r>
      <w:r>
        <w:t xml:space="preserve"> è stata prorogata al 30 luglio 2020, in coincidenza – peraltro – con la scadenza </w:t>
      </w:r>
      <w:proofErr w:type="gramStart"/>
      <w:r>
        <w:t>del  termine</w:t>
      </w:r>
      <w:proofErr w:type="gramEnd"/>
      <w:r>
        <w:t xml:space="preserve"> di recepimento</w:t>
      </w:r>
      <w:r w:rsidR="00AE68DC">
        <w:t xml:space="preserve"> della direttiva</w:t>
      </w:r>
      <w:r>
        <w:t>.</w:t>
      </w:r>
    </w:p>
    <w:p w14:paraId="0F31520A" w14:textId="77777777" w:rsidR="00D4521C" w:rsidRPr="006B0C1D" w:rsidRDefault="000A1720" w:rsidP="006B0C1D">
      <w:pPr>
        <w:pStyle w:val="Default"/>
        <w:jc w:val="both"/>
        <w:rPr>
          <w:color w:val="000000" w:themeColor="text1"/>
        </w:rPr>
      </w:pPr>
      <w:r>
        <w:t xml:space="preserve">Lo schema di decreto legislativo recepisce </w:t>
      </w:r>
      <w:r w:rsidR="00227B58">
        <w:t>la d</w:t>
      </w:r>
      <w:r w:rsidRPr="000A1720">
        <w:t xml:space="preserve">irettiva (UE) 2018/958 del </w:t>
      </w:r>
      <w:r>
        <w:t>P</w:t>
      </w:r>
      <w:r w:rsidRPr="000A1720">
        <w:t xml:space="preserve">arlamento europeo e del </w:t>
      </w:r>
      <w:r>
        <w:t>C</w:t>
      </w:r>
      <w:r w:rsidRPr="000A1720">
        <w:t>onsiglio del 28 giugno 2018</w:t>
      </w:r>
      <w:r>
        <w:t xml:space="preserve"> </w:t>
      </w:r>
      <w:r w:rsidRPr="000A1720">
        <w:t xml:space="preserve">relativa a un test della </w:t>
      </w:r>
      <w:proofErr w:type="spellStart"/>
      <w:r w:rsidRPr="000A1720">
        <w:t>proporzionalita</w:t>
      </w:r>
      <w:proofErr w:type="spellEnd"/>
      <w:r w:rsidRPr="000A1720">
        <w:t>̀ prima dell’adozione di una nuova regolamentazione delle professioni</w:t>
      </w:r>
      <w:r w:rsidR="00103C20">
        <w:t xml:space="preserve"> (di seguito indicata come direttiva)</w:t>
      </w:r>
      <w:r w:rsidR="00FD6234">
        <w:t>.</w:t>
      </w:r>
      <w:r w:rsidR="006B0C1D">
        <w:t xml:space="preserve"> </w:t>
      </w:r>
      <w:r w:rsidR="00FD6234">
        <w:t>La direttiva che si recepisce mira a</w:t>
      </w:r>
      <w:r w:rsidR="00F6308A" w:rsidRPr="001C5491">
        <w:t xml:space="preserve"> garantire il corretto funzionamento del mercato interno ed evitare restrizioni sproporzionate all’accesso a professioni regolamentate o al loro esercizio</w:t>
      </w:r>
      <w:r w:rsidR="00FD6234" w:rsidRPr="000650C3">
        <w:t xml:space="preserve">. L’intervento si è reso necessario in considerazione della tutela non appagante rispetto alle esigenze </w:t>
      </w:r>
      <w:r w:rsidR="006B0C1D" w:rsidRPr="000650C3">
        <w:t xml:space="preserve">protette </w:t>
      </w:r>
      <w:r w:rsidR="00FD6234" w:rsidRPr="000650C3">
        <w:t>offert</w:t>
      </w:r>
      <w:r w:rsidR="00227B58" w:rsidRPr="000650C3">
        <w:t>e</w:t>
      </w:r>
      <w:r w:rsidR="00FD6234" w:rsidRPr="000650C3">
        <w:t xml:space="preserve"> dai precedenti </w:t>
      </w:r>
      <w:r w:rsidR="00227B58" w:rsidRPr="000650C3">
        <w:t xml:space="preserve">atti </w:t>
      </w:r>
      <w:r w:rsidR="00FD6234" w:rsidRPr="000650C3">
        <w:t>normativi in materia. In particolare,</w:t>
      </w:r>
      <w:r w:rsidR="006B0C1D" w:rsidRPr="000650C3">
        <w:t xml:space="preserve"> ci si riferisce al</w:t>
      </w:r>
      <w:r w:rsidR="00FD6234" w:rsidRPr="000650C3">
        <w:t>l</w:t>
      </w:r>
      <w:r w:rsidR="00D4521C" w:rsidRPr="000650C3">
        <w:t xml:space="preserve">a direttiva 2005/36/CE del Parlamento europeo e del Consiglio </w:t>
      </w:r>
      <w:r w:rsidR="00E3444A" w:rsidRPr="000650C3">
        <w:t>relativa al riconoscimento delle qualifiche</w:t>
      </w:r>
      <w:r w:rsidR="00E3444A" w:rsidRPr="001C5491">
        <w:t xml:space="preserve">  professionali</w:t>
      </w:r>
      <w:r w:rsidR="00FD6234">
        <w:t xml:space="preserve"> </w:t>
      </w:r>
      <w:r w:rsidR="00227B58">
        <w:t xml:space="preserve">come modificata dalla direttiva 2013/55/UE </w:t>
      </w:r>
      <w:r w:rsidR="00FD6234">
        <w:t xml:space="preserve">– recepita nel nostro ordinamento mediante </w:t>
      </w:r>
      <w:r w:rsidR="00FD6234" w:rsidRPr="00FD6234">
        <w:t xml:space="preserve">il decreto legislativo </w:t>
      </w:r>
      <w:r w:rsidR="006B0C1D" w:rsidRPr="00FD6234">
        <w:t>n. 206</w:t>
      </w:r>
      <w:r w:rsidR="006B0C1D">
        <w:t xml:space="preserve"> del</w:t>
      </w:r>
      <w:r w:rsidR="006B0C1D" w:rsidRPr="00FD6234">
        <w:t xml:space="preserve"> </w:t>
      </w:r>
      <w:r w:rsidR="006B0C1D" w:rsidRPr="001C5491">
        <w:t xml:space="preserve"> </w:t>
      </w:r>
      <w:r w:rsidR="00FD6234" w:rsidRPr="00FD6234">
        <w:t xml:space="preserve">9 novembre 2007 </w:t>
      </w:r>
      <w:r w:rsidR="006B0C1D">
        <w:t>–</w:t>
      </w:r>
      <w:r w:rsidR="00FD6234">
        <w:t xml:space="preserve"> </w:t>
      </w:r>
      <w:r w:rsidR="006B0C1D">
        <w:t>che impone</w:t>
      </w:r>
      <w:r w:rsidR="00D4521C" w:rsidRPr="001C5491">
        <w:t xml:space="preserve"> </w:t>
      </w:r>
      <w:r w:rsidR="006B0C1D">
        <w:t>a</w:t>
      </w:r>
      <w:r w:rsidR="00D4521C" w:rsidRPr="001C5491">
        <w:t xml:space="preserve">gli Stati membri di valutare la </w:t>
      </w:r>
      <w:proofErr w:type="spellStart"/>
      <w:r w:rsidR="00D4521C" w:rsidRPr="001C5491">
        <w:t>proporzionalita</w:t>
      </w:r>
      <w:proofErr w:type="spellEnd"/>
      <w:r w:rsidR="00D4521C" w:rsidRPr="001C5491">
        <w:t>̀ dei requisiti che limitano l’accesso alle professioni regolamentate, o il loro esercizio, e di comunicare alla Commissione i risultati di tale valutazione</w:t>
      </w:r>
      <w:r w:rsidR="006B0C1D">
        <w:t xml:space="preserve"> (c.d. </w:t>
      </w:r>
      <w:r w:rsidR="00D4521C" w:rsidRPr="001C5491">
        <w:t>processo di valutazione reciproca</w:t>
      </w:r>
      <w:r w:rsidR="006B0C1D">
        <w:t>)</w:t>
      </w:r>
      <w:r w:rsidR="00D4521C" w:rsidRPr="001C5491">
        <w:t xml:space="preserve">. </w:t>
      </w:r>
      <w:r w:rsidR="00C02F05">
        <w:t xml:space="preserve">Dalla valutazione reciproca è emersa </w:t>
      </w:r>
      <w:r w:rsidR="00D4521C" w:rsidRPr="001C5491">
        <w:t xml:space="preserve">la mancanza di chiarezza </w:t>
      </w:r>
      <w:r w:rsidR="00C02F05">
        <w:t>e la disomogeneità dei</w:t>
      </w:r>
      <w:r w:rsidR="00D4521C" w:rsidRPr="001C5491">
        <w:t xml:space="preserve"> criteri che gli Stati membri devono utilizzare nella valutazione della </w:t>
      </w:r>
      <w:proofErr w:type="spellStart"/>
      <w:r w:rsidR="00D4521C" w:rsidRPr="001C5491">
        <w:t>proporzionalita</w:t>
      </w:r>
      <w:proofErr w:type="spellEnd"/>
      <w:r w:rsidR="00D4521C" w:rsidRPr="001C5491">
        <w:t>̀ dei requisiti che limitano l’accesso alle professioni regolamentate o il loro esercizio</w:t>
      </w:r>
      <w:r w:rsidR="00C02F05">
        <w:t>.</w:t>
      </w:r>
    </w:p>
    <w:p w14:paraId="7224F936" w14:textId="77777777" w:rsidR="001C5491" w:rsidRPr="001C5491" w:rsidRDefault="001C5491" w:rsidP="001C5491">
      <w:pPr>
        <w:jc w:val="both"/>
        <w:rPr>
          <w:sz w:val="24"/>
        </w:rPr>
      </w:pPr>
      <w:r w:rsidRPr="001C5491">
        <w:rPr>
          <w:sz w:val="24"/>
        </w:rPr>
        <w:t>La direttiva</w:t>
      </w:r>
      <w:r w:rsidR="00C02F05">
        <w:rPr>
          <w:sz w:val="24"/>
        </w:rPr>
        <w:t>, quindi,</w:t>
      </w:r>
      <w:r w:rsidRPr="001C5491">
        <w:rPr>
          <w:sz w:val="24"/>
        </w:rPr>
        <w:t xml:space="preserve"> </w:t>
      </w:r>
      <w:r w:rsidR="00952D6C">
        <w:rPr>
          <w:sz w:val="24"/>
        </w:rPr>
        <w:t xml:space="preserve">disciplina </w:t>
      </w:r>
      <w:r w:rsidRPr="001C5491">
        <w:rPr>
          <w:sz w:val="24"/>
        </w:rPr>
        <w:t xml:space="preserve">le valutazioni della </w:t>
      </w:r>
      <w:proofErr w:type="spellStart"/>
      <w:r w:rsidRPr="001C5491">
        <w:rPr>
          <w:sz w:val="24"/>
        </w:rPr>
        <w:t>proporzionalita</w:t>
      </w:r>
      <w:proofErr w:type="spellEnd"/>
      <w:r w:rsidRPr="001C5491">
        <w:rPr>
          <w:sz w:val="24"/>
        </w:rPr>
        <w:t>̀ che gli Stati membri devono effettuare prima dell’introduzione di nuove regolamentazioni delle professioni, o per la modifica di regolamentazioni esistenti.</w:t>
      </w:r>
    </w:p>
    <w:p w14:paraId="0F797392" w14:textId="77777777" w:rsidR="001C5491" w:rsidRPr="0078716F" w:rsidRDefault="001C5491" w:rsidP="001C5491">
      <w:pPr>
        <w:jc w:val="both"/>
        <w:rPr>
          <w:sz w:val="24"/>
        </w:rPr>
      </w:pPr>
      <w:r w:rsidRPr="001C5491">
        <w:rPr>
          <w:sz w:val="24"/>
        </w:rPr>
        <w:t>L</w:t>
      </w:r>
      <w:r w:rsidR="00CA2EAF">
        <w:rPr>
          <w:sz w:val="24"/>
        </w:rPr>
        <w:t>’àmbito applicativo</w:t>
      </w:r>
      <w:r w:rsidRPr="001C5491">
        <w:rPr>
          <w:sz w:val="24"/>
        </w:rPr>
        <w:t xml:space="preserve"> </w:t>
      </w:r>
      <w:r w:rsidR="00CA2EAF">
        <w:rPr>
          <w:sz w:val="24"/>
        </w:rPr>
        <w:t>della</w:t>
      </w:r>
      <w:r w:rsidRPr="001C5491">
        <w:rPr>
          <w:sz w:val="24"/>
        </w:rPr>
        <w:t xml:space="preserve"> direttiv</w:t>
      </w:r>
      <w:r w:rsidR="00CA2EAF">
        <w:rPr>
          <w:sz w:val="24"/>
        </w:rPr>
        <w:t>a</w:t>
      </w:r>
      <w:r w:rsidRPr="001C5491">
        <w:rPr>
          <w:sz w:val="24"/>
        </w:rPr>
        <w:t xml:space="preserve"> </w:t>
      </w:r>
      <w:r w:rsidR="00CA2EAF">
        <w:rPr>
          <w:sz w:val="24"/>
        </w:rPr>
        <w:t>riguarda</w:t>
      </w:r>
      <w:r w:rsidRPr="001C5491">
        <w:rPr>
          <w:sz w:val="24"/>
        </w:rPr>
        <w:t xml:space="preserve"> le professioni regolamentate </w:t>
      </w:r>
      <w:r w:rsidR="00CA2EAF">
        <w:rPr>
          <w:sz w:val="24"/>
        </w:rPr>
        <w:t>oggetto</w:t>
      </w:r>
      <w:r w:rsidRPr="001C5491">
        <w:rPr>
          <w:sz w:val="24"/>
        </w:rPr>
        <w:t xml:space="preserve"> della </w:t>
      </w:r>
      <w:r w:rsidR="00CA2EAF">
        <w:rPr>
          <w:sz w:val="24"/>
        </w:rPr>
        <w:t xml:space="preserve">disciplina di cui alla </w:t>
      </w:r>
      <w:r w:rsidRPr="001C5491">
        <w:rPr>
          <w:sz w:val="24"/>
        </w:rPr>
        <w:t>direttiva 2005/36/CE</w:t>
      </w:r>
      <w:r w:rsidR="00CA2EAF">
        <w:rPr>
          <w:sz w:val="24"/>
        </w:rPr>
        <w:t xml:space="preserve">, con specifico riferimento </w:t>
      </w:r>
      <w:r w:rsidRPr="001C5491">
        <w:rPr>
          <w:sz w:val="24"/>
        </w:rPr>
        <w:t xml:space="preserve">ai requisiti </w:t>
      </w:r>
      <w:r w:rsidRPr="0078716F">
        <w:rPr>
          <w:sz w:val="24"/>
        </w:rPr>
        <w:t xml:space="preserve">che limitano l’accesso alle professioni regolamentate o il loro esercizio o </w:t>
      </w:r>
      <w:r w:rsidR="00A33037" w:rsidRPr="0078716F">
        <w:rPr>
          <w:sz w:val="24"/>
        </w:rPr>
        <w:t>che modificano quelli esistenti</w:t>
      </w:r>
      <w:r w:rsidRPr="0078716F">
        <w:rPr>
          <w:sz w:val="24"/>
        </w:rPr>
        <w:t xml:space="preserve">. </w:t>
      </w:r>
      <w:r w:rsidR="00CA2EAF" w:rsidRPr="0078716F">
        <w:rPr>
          <w:sz w:val="24"/>
        </w:rPr>
        <w:t xml:space="preserve">Si richiede agli </w:t>
      </w:r>
      <w:r w:rsidRPr="0078716F">
        <w:rPr>
          <w:sz w:val="24"/>
        </w:rPr>
        <w:t xml:space="preserve">Stati membri </w:t>
      </w:r>
      <w:r w:rsidR="00CA2EAF" w:rsidRPr="0078716F">
        <w:rPr>
          <w:sz w:val="24"/>
        </w:rPr>
        <w:t xml:space="preserve">di garantire </w:t>
      </w:r>
      <w:r w:rsidR="00A33037" w:rsidRPr="0078716F">
        <w:rPr>
          <w:sz w:val="24"/>
        </w:rPr>
        <w:t xml:space="preserve">obiettività e </w:t>
      </w:r>
      <w:r w:rsidR="00CA2EAF" w:rsidRPr="0078716F">
        <w:rPr>
          <w:sz w:val="24"/>
        </w:rPr>
        <w:t>indipendenza nel procedimento di</w:t>
      </w:r>
      <w:r w:rsidRPr="0078716F">
        <w:rPr>
          <w:sz w:val="24"/>
        </w:rPr>
        <w:t xml:space="preserve"> valutazion</w:t>
      </w:r>
      <w:r w:rsidR="00CA2EAF" w:rsidRPr="0078716F">
        <w:rPr>
          <w:sz w:val="24"/>
        </w:rPr>
        <w:t>e</w:t>
      </w:r>
      <w:r w:rsidRPr="0078716F">
        <w:rPr>
          <w:sz w:val="24"/>
        </w:rPr>
        <w:t xml:space="preserve"> della </w:t>
      </w:r>
      <w:proofErr w:type="spellStart"/>
      <w:r w:rsidRPr="0078716F">
        <w:rPr>
          <w:sz w:val="24"/>
        </w:rPr>
        <w:t>proporzionalita</w:t>
      </w:r>
      <w:proofErr w:type="spellEnd"/>
      <w:r w:rsidRPr="0078716F">
        <w:rPr>
          <w:sz w:val="24"/>
        </w:rPr>
        <w:t>̀</w:t>
      </w:r>
      <w:r w:rsidR="00CA2EAF" w:rsidRPr="0078716F">
        <w:rPr>
          <w:sz w:val="24"/>
        </w:rPr>
        <w:t xml:space="preserve">, </w:t>
      </w:r>
      <w:r w:rsidR="00A33037" w:rsidRPr="0078716F">
        <w:rPr>
          <w:sz w:val="24"/>
        </w:rPr>
        <w:t>escludendo quindi eventuali influenze da parte dei portatori di interessi, che la direttiva impone comunque di consultare nel processo di adozione delle disposizioni</w:t>
      </w:r>
      <w:r w:rsidRPr="0078716F">
        <w:rPr>
          <w:sz w:val="24"/>
        </w:rPr>
        <w:t xml:space="preserve">. </w:t>
      </w:r>
    </w:p>
    <w:p w14:paraId="415371B2" w14:textId="77777777" w:rsidR="00C34CD2" w:rsidRPr="00C34CD2" w:rsidRDefault="00C34CD2" w:rsidP="001C5491">
      <w:pPr>
        <w:jc w:val="both"/>
        <w:rPr>
          <w:b/>
          <w:bCs/>
          <w:sz w:val="24"/>
        </w:rPr>
      </w:pPr>
    </w:p>
    <w:p w14:paraId="393D8258" w14:textId="77777777" w:rsidR="00DA4C7D" w:rsidRDefault="00C34CD2" w:rsidP="001C5491">
      <w:pPr>
        <w:jc w:val="both"/>
        <w:rPr>
          <w:sz w:val="24"/>
        </w:rPr>
      </w:pPr>
      <w:r w:rsidRPr="00C34CD2">
        <w:rPr>
          <w:b/>
          <w:sz w:val="24"/>
        </w:rPr>
        <w:t>L’art</w:t>
      </w:r>
      <w:r w:rsidR="00DA4C7D">
        <w:rPr>
          <w:b/>
          <w:sz w:val="24"/>
        </w:rPr>
        <w:t>icolo</w:t>
      </w:r>
      <w:r w:rsidRPr="00C34CD2">
        <w:rPr>
          <w:b/>
          <w:sz w:val="24"/>
        </w:rPr>
        <w:t xml:space="preserve"> 1</w:t>
      </w:r>
      <w:r>
        <w:rPr>
          <w:b/>
          <w:sz w:val="24"/>
        </w:rPr>
        <w:t xml:space="preserve"> </w:t>
      </w:r>
      <w:r>
        <w:rPr>
          <w:sz w:val="24"/>
        </w:rPr>
        <w:t>indica</w:t>
      </w:r>
      <w:r w:rsidR="00683FC4">
        <w:rPr>
          <w:sz w:val="24"/>
        </w:rPr>
        <w:t xml:space="preserve"> al primo comma </w:t>
      </w:r>
      <w:r>
        <w:rPr>
          <w:sz w:val="24"/>
        </w:rPr>
        <w:t xml:space="preserve">l’oggetto del provvedimento, </w:t>
      </w:r>
      <w:r w:rsidR="00683FC4">
        <w:rPr>
          <w:sz w:val="24"/>
        </w:rPr>
        <w:t>consistente nell’introduzione di norme</w:t>
      </w:r>
      <w:r w:rsidRPr="00C34CD2">
        <w:rPr>
          <w:sz w:val="24"/>
        </w:rPr>
        <w:t xml:space="preserve"> su un quadro comune per lo svolgimento di valutazioni della proporzionalità</w:t>
      </w:r>
      <w:r>
        <w:rPr>
          <w:sz w:val="24"/>
        </w:rPr>
        <w:t xml:space="preserve">, da realizzarsi </w:t>
      </w:r>
      <w:r w:rsidRPr="00C34CD2">
        <w:rPr>
          <w:sz w:val="24"/>
        </w:rPr>
        <w:t>prima dell’introduzione di nuove disposizioni legislative, regolamentari o amministrative che limit</w:t>
      </w:r>
      <w:r>
        <w:rPr>
          <w:sz w:val="24"/>
        </w:rPr>
        <w:t>i</w:t>
      </w:r>
      <w:r w:rsidRPr="00C34CD2">
        <w:rPr>
          <w:sz w:val="24"/>
        </w:rPr>
        <w:t>no l’accesso alle professioni regolamentate o il loro esercizio, o prima della modifica di quelle esistenti</w:t>
      </w:r>
      <w:r>
        <w:rPr>
          <w:sz w:val="24"/>
        </w:rPr>
        <w:t>. Ciò con il duplice obiettivo di garantire</w:t>
      </w:r>
      <w:r w:rsidR="00683FC4">
        <w:rPr>
          <w:sz w:val="24"/>
        </w:rPr>
        <w:t>,</w:t>
      </w:r>
      <w:r>
        <w:rPr>
          <w:sz w:val="24"/>
        </w:rPr>
        <w:t xml:space="preserve"> da un lato</w:t>
      </w:r>
      <w:r w:rsidR="00683FC4">
        <w:rPr>
          <w:sz w:val="24"/>
        </w:rPr>
        <w:t xml:space="preserve">, </w:t>
      </w:r>
      <w:r>
        <w:rPr>
          <w:sz w:val="24"/>
        </w:rPr>
        <w:t xml:space="preserve">il </w:t>
      </w:r>
      <w:r w:rsidRPr="00C34CD2">
        <w:rPr>
          <w:sz w:val="24"/>
        </w:rPr>
        <w:t xml:space="preserve">corretto funzionamento del mercato interno </w:t>
      </w:r>
      <w:r>
        <w:rPr>
          <w:sz w:val="24"/>
        </w:rPr>
        <w:t>e</w:t>
      </w:r>
      <w:r w:rsidR="00683FC4">
        <w:rPr>
          <w:sz w:val="24"/>
        </w:rPr>
        <w:t xml:space="preserve">, </w:t>
      </w:r>
      <w:r>
        <w:rPr>
          <w:sz w:val="24"/>
        </w:rPr>
        <w:t>dall’altro</w:t>
      </w:r>
      <w:r w:rsidR="00683FC4">
        <w:rPr>
          <w:sz w:val="24"/>
        </w:rPr>
        <w:t>,</w:t>
      </w:r>
      <w:r w:rsidRPr="00C34CD2">
        <w:rPr>
          <w:sz w:val="24"/>
        </w:rPr>
        <w:t xml:space="preserve"> un elevato livello di tutela dei consumatori.</w:t>
      </w:r>
      <w:r w:rsidR="00A16CEE">
        <w:rPr>
          <w:sz w:val="24"/>
        </w:rPr>
        <w:t xml:space="preserve"> </w:t>
      </w:r>
      <w:r w:rsidR="00F657D5">
        <w:rPr>
          <w:sz w:val="24"/>
        </w:rPr>
        <w:t xml:space="preserve">In base al </w:t>
      </w:r>
      <w:r w:rsidR="007156CB">
        <w:rPr>
          <w:sz w:val="24"/>
        </w:rPr>
        <w:t xml:space="preserve">secondo </w:t>
      </w:r>
      <w:r w:rsidR="00F657D5">
        <w:rPr>
          <w:sz w:val="24"/>
        </w:rPr>
        <w:t>comma la disciplina che si introduce con il presente decreto non si applica qualora</w:t>
      </w:r>
      <w:r w:rsidR="00F657D5" w:rsidRPr="00F657D5">
        <w:rPr>
          <w:sz w:val="24"/>
        </w:rPr>
        <w:t xml:space="preserve"> i requisiti specifici riguardanti la regolamentazione di una determinata professione siano stabiliti in uno o più atti normativi interni emanati in attuazione di atti dell’Unione europea</w:t>
      </w:r>
      <w:r w:rsidR="00F657D5">
        <w:rPr>
          <w:sz w:val="24"/>
        </w:rPr>
        <w:t>.</w:t>
      </w:r>
    </w:p>
    <w:p w14:paraId="07BE4B28" w14:textId="77777777" w:rsidR="00F657D5" w:rsidRPr="00F4347A" w:rsidRDefault="00F657D5" w:rsidP="001C5491">
      <w:pPr>
        <w:jc w:val="both"/>
        <w:rPr>
          <w:i/>
          <w:iCs/>
          <w:color w:val="FF0000"/>
          <w:sz w:val="24"/>
        </w:rPr>
      </w:pPr>
    </w:p>
    <w:p w14:paraId="2A55E133" w14:textId="77777777" w:rsidR="00DA4C7D" w:rsidRPr="00DA4C7D" w:rsidRDefault="00DA4C7D" w:rsidP="00DA4C7D">
      <w:pPr>
        <w:jc w:val="both"/>
        <w:rPr>
          <w:sz w:val="24"/>
        </w:rPr>
      </w:pPr>
      <w:r w:rsidRPr="00DA4C7D">
        <w:rPr>
          <w:b/>
          <w:sz w:val="24"/>
        </w:rPr>
        <w:t>L’ar</w:t>
      </w:r>
      <w:r>
        <w:rPr>
          <w:b/>
          <w:sz w:val="24"/>
        </w:rPr>
        <w:t>ticolo</w:t>
      </w:r>
      <w:r w:rsidRPr="00DA4C7D">
        <w:rPr>
          <w:b/>
          <w:sz w:val="24"/>
        </w:rPr>
        <w:t xml:space="preserve"> </w:t>
      </w:r>
      <w:r w:rsidR="00AA7A78">
        <w:rPr>
          <w:b/>
          <w:sz w:val="24"/>
        </w:rPr>
        <w:t>2</w:t>
      </w:r>
      <w:r>
        <w:rPr>
          <w:sz w:val="24"/>
        </w:rPr>
        <w:t xml:space="preserve"> riguarda le definizioni contenute nel provvedimento</w:t>
      </w:r>
      <w:r w:rsidR="00EB2450">
        <w:rPr>
          <w:sz w:val="24"/>
        </w:rPr>
        <w:t xml:space="preserve">: </w:t>
      </w:r>
      <w:r w:rsidRPr="00DA4C7D">
        <w:rPr>
          <w:sz w:val="24"/>
        </w:rPr>
        <w:t xml:space="preserve">a) </w:t>
      </w:r>
      <w:r w:rsidR="00EB2450">
        <w:rPr>
          <w:sz w:val="24"/>
        </w:rPr>
        <w:t xml:space="preserve">per </w:t>
      </w:r>
      <w:r w:rsidRPr="00DA4C7D">
        <w:rPr>
          <w:sz w:val="24"/>
        </w:rPr>
        <w:t>«titolo professionale protetto»</w:t>
      </w:r>
      <w:r w:rsidR="00EB2450">
        <w:rPr>
          <w:sz w:val="24"/>
        </w:rPr>
        <w:t xml:space="preserve"> si intende </w:t>
      </w:r>
      <w:r w:rsidRPr="00DA4C7D">
        <w:rPr>
          <w:sz w:val="24"/>
        </w:rPr>
        <w:t xml:space="preserve">una forma di regolamentazione di una professione secondo cui l’uso del titolo in </w:t>
      </w:r>
      <w:r w:rsidRPr="00DA4C7D">
        <w:rPr>
          <w:sz w:val="24"/>
        </w:rPr>
        <w:lastRenderedPageBreak/>
        <w:t>un’attività professionale o un gruppo di attività professionali è subordinato, direttamente o indirettamente, in forza di disposizioni legislative, regolamentari o amministrative, al possesso di una specifica qualifica professionale, e secondo cui l’uso improprio di tale titolo è soggetto a sanzioni;</w:t>
      </w:r>
      <w:r w:rsidR="005B78B3">
        <w:rPr>
          <w:sz w:val="24"/>
        </w:rPr>
        <w:t xml:space="preserve"> </w:t>
      </w:r>
      <w:r w:rsidRPr="00DA4C7D">
        <w:rPr>
          <w:sz w:val="24"/>
        </w:rPr>
        <w:t xml:space="preserve">b) </w:t>
      </w:r>
      <w:r w:rsidR="005B78B3">
        <w:rPr>
          <w:sz w:val="24"/>
        </w:rPr>
        <w:t xml:space="preserve">le </w:t>
      </w:r>
      <w:r w:rsidRPr="00DA4C7D">
        <w:rPr>
          <w:sz w:val="24"/>
        </w:rPr>
        <w:t>«attività riservate»</w:t>
      </w:r>
      <w:r w:rsidR="005B78B3">
        <w:rPr>
          <w:sz w:val="24"/>
        </w:rPr>
        <w:t xml:space="preserve"> indicano</w:t>
      </w:r>
      <w:r w:rsidRPr="00DA4C7D">
        <w:rPr>
          <w:sz w:val="24"/>
        </w:rPr>
        <w:t xml:space="preserve"> una forma di regolamentazione di una professione secondo cui l’accesso a un’attività professionale o a un gruppo di attività professionali è riservato, direttamente o indirettamente, in forza di disposizioni legislative, regolamentari o amministrative, a coloro che esercitano una professione regolamentata, in possesso di una specifica qualifica professionale, anche nel caso in cui l’attività sia condivisa con altre professioni regolamentate;</w:t>
      </w:r>
      <w:r w:rsidR="005B78B3">
        <w:rPr>
          <w:sz w:val="24"/>
        </w:rPr>
        <w:t xml:space="preserve"> </w:t>
      </w:r>
      <w:r w:rsidRPr="00DA4C7D">
        <w:rPr>
          <w:sz w:val="24"/>
        </w:rPr>
        <w:t xml:space="preserve">c) </w:t>
      </w:r>
      <w:r w:rsidR="005B78B3">
        <w:rPr>
          <w:sz w:val="24"/>
        </w:rPr>
        <w:t xml:space="preserve">i </w:t>
      </w:r>
      <w:r w:rsidRPr="00DA4C7D">
        <w:rPr>
          <w:sz w:val="24"/>
        </w:rPr>
        <w:t xml:space="preserve">«soggetti regolatori»: </w:t>
      </w:r>
      <w:r w:rsidR="005B78B3">
        <w:rPr>
          <w:sz w:val="24"/>
        </w:rPr>
        <w:t>sono</w:t>
      </w:r>
      <w:r w:rsidRPr="00DA4C7D">
        <w:rPr>
          <w:sz w:val="24"/>
        </w:rPr>
        <w:t xml:space="preserve"> le autorità legittimate ad emanare disposizioni legislative, regolamentari o amministrativ</w:t>
      </w:r>
      <w:r w:rsidR="008D717D">
        <w:rPr>
          <w:sz w:val="24"/>
        </w:rPr>
        <w:t xml:space="preserve">e generali </w:t>
      </w:r>
      <w:r w:rsidRPr="00DA4C7D">
        <w:rPr>
          <w:sz w:val="24"/>
        </w:rPr>
        <w:t xml:space="preserve">che disciplinino l’accesso a professioni regolamentate o il loro esercizio incluse le autorità competenti di cui all’articolo 4, comma 1, lettera d), del decreto legislativo </w:t>
      </w:r>
      <w:r w:rsidR="00AC78C3">
        <w:rPr>
          <w:sz w:val="24"/>
        </w:rPr>
        <w:t>9 novembre 2007 n. 206</w:t>
      </w:r>
      <w:r w:rsidR="00A17FEE">
        <w:rPr>
          <w:sz w:val="24"/>
        </w:rPr>
        <w:t xml:space="preserve">; </w:t>
      </w:r>
      <w:r w:rsidRPr="00DA4C7D">
        <w:rPr>
          <w:sz w:val="24"/>
        </w:rPr>
        <w:t xml:space="preserve">d) </w:t>
      </w:r>
      <w:r w:rsidR="00A17FEE" w:rsidRPr="00DA4C7D">
        <w:rPr>
          <w:sz w:val="24"/>
        </w:rPr>
        <w:t>«</w:t>
      </w:r>
      <w:r w:rsidRPr="00DA4C7D">
        <w:rPr>
          <w:sz w:val="24"/>
        </w:rPr>
        <w:t>direttiva</w:t>
      </w:r>
      <w:r w:rsidR="00A17FEE">
        <w:rPr>
          <w:rFonts w:cs="Times New Roman"/>
          <w:color w:val="000000" w:themeColor="text1"/>
          <w:sz w:val="24"/>
        </w:rPr>
        <w:t>»</w:t>
      </w:r>
      <w:r w:rsidRPr="00DA4C7D">
        <w:rPr>
          <w:sz w:val="24"/>
        </w:rPr>
        <w:t>: direttiva (UE) n. 2018/958 del Parlamento europeo e del Consiglio, del 28 giugno 2018.</w:t>
      </w:r>
    </w:p>
    <w:p w14:paraId="3BAD26B0" w14:textId="77777777" w:rsidR="00DA4C7D" w:rsidRDefault="00DA4C7D" w:rsidP="001C5491">
      <w:pPr>
        <w:jc w:val="both"/>
        <w:rPr>
          <w:b/>
          <w:bCs/>
          <w:sz w:val="24"/>
        </w:rPr>
      </w:pPr>
    </w:p>
    <w:p w14:paraId="7CB1FA83" w14:textId="40FA357E" w:rsidR="00AA7A78" w:rsidRPr="0078716F" w:rsidRDefault="00FE2724" w:rsidP="008D7C76">
      <w:pPr>
        <w:jc w:val="both"/>
        <w:rPr>
          <w:sz w:val="24"/>
        </w:rPr>
      </w:pPr>
      <w:r>
        <w:rPr>
          <w:b/>
          <w:sz w:val="24"/>
        </w:rPr>
        <w:t>L’</w:t>
      </w:r>
      <w:r w:rsidR="00AC78C3">
        <w:rPr>
          <w:b/>
          <w:sz w:val="24"/>
        </w:rPr>
        <w:t xml:space="preserve">articolo </w:t>
      </w:r>
      <w:r w:rsidR="00AC78C3" w:rsidRPr="00AC78C3">
        <w:rPr>
          <w:b/>
          <w:sz w:val="24"/>
        </w:rPr>
        <w:t>3</w:t>
      </w:r>
      <w:r w:rsidR="00AC78C3" w:rsidRPr="00AC78C3">
        <w:rPr>
          <w:sz w:val="24"/>
        </w:rPr>
        <w:t xml:space="preserve"> disciplina l</w:t>
      </w:r>
      <w:r w:rsidR="00A12C07">
        <w:rPr>
          <w:sz w:val="24"/>
        </w:rPr>
        <w:t>e fasi della</w:t>
      </w:r>
      <w:r w:rsidR="00AC78C3" w:rsidRPr="00AC78C3">
        <w:rPr>
          <w:sz w:val="24"/>
        </w:rPr>
        <w:t xml:space="preserve"> valutazione d</w:t>
      </w:r>
      <w:r w:rsidR="00A12C07">
        <w:rPr>
          <w:sz w:val="24"/>
        </w:rPr>
        <w:t>e</w:t>
      </w:r>
      <w:r w:rsidR="00AC78C3" w:rsidRPr="00AC78C3">
        <w:rPr>
          <w:sz w:val="24"/>
        </w:rPr>
        <w:t>i nuovi provvedimenti, imposta dalla direttiva agli Stati membri. In particolare</w:t>
      </w:r>
      <w:r w:rsidR="00A12C07">
        <w:rPr>
          <w:sz w:val="24"/>
        </w:rPr>
        <w:t xml:space="preserve"> e in via preventiva</w:t>
      </w:r>
      <w:r w:rsidR="00AC78C3" w:rsidRPr="00AC78C3">
        <w:rPr>
          <w:sz w:val="24"/>
        </w:rPr>
        <w:t xml:space="preserve">, in base al </w:t>
      </w:r>
      <w:r w:rsidR="00AC78C3" w:rsidRPr="00BE7138">
        <w:rPr>
          <w:sz w:val="24"/>
        </w:rPr>
        <w:t xml:space="preserve">primo comma dell’articolo, i soggetti regolatori in precedenza individuati operano una valutazione della </w:t>
      </w:r>
      <w:proofErr w:type="spellStart"/>
      <w:r w:rsidR="00AC78C3" w:rsidRPr="00BE7138">
        <w:rPr>
          <w:sz w:val="24"/>
        </w:rPr>
        <w:t>proporzionalita</w:t>
      </w:r>
      <w:proofErr w:type="spellEnd"/>
      <w:r w:rsidR="00AC78C3" w:rsidRPr="00BE7138">
        <w:rPr>
          <w:sz w:val="24"/>
        </w:rPr>
        <w:t>̀ in sede di analisi di impatto della regola</w:t>
      </w:r>
      <w:r w:rsidR="004D1CF9" w:rsidRPr="00BE7138">
        <w:rPr>
          <w:sz w:val="24"/>
        </w:rPr>
        <w:t>zione</w:t>
      </w:r>
      <w:r w:rsidR="00C947EA">
        <w:rPr>
          <w:sz w:val="24"/>
        </w:rPr>
        <w:t xml:space="preserve"> dell’atto normativo o in sede di istruttoria dell’atto amministrativo generale</w:t>
      </w:r>
      <w:r w:rsidR="00BE7138" w:rsidRPr="00BE7138">
        <w:rPr>
          <w:rFonts w:eastAsia="Times New Roman" w:cs="Times New Roman"/>
          <w:sz w:val="24"/>
          <w:lang w:eastAsia="it-IT"/>
        </w:rPr>
        <w:t xml:space="preserve">, </w:t>
      </w:r>
      <w:r w:rsidR="00BE7138">
        <w:rPr>
          <w:rFonts w:eastAsia="Times New Roman" w:cs="Times New Roman"/>
          <w:sz w:val="24"/>
          <w:lang w:eastAsia="it-IT"/>
        </w:rPr>
        <w:t xml:space="preserve">compilando </w:t>
      </w:r>
      <w:r w:rsidR="00BE7138" w:rsidRPr="00BE7138">
        <w:rPr>
          <w:sz w:val="24"/>
        </w:rPr>
        <w:t>il questionario riportato nel</w:t>
      </w:r>
      <w:r w:rsidR="00BE7138" w:rsidRPr="00BE7138">
        <w:rPr>
          <w:rFonts w:eastAsia="Times New Roman" w:cs="Times New Roman"/>
          <w:sz w:val="24"/>
          <w:lang w:eastAsia="it-IT"/>
        </w:rPr>
        <w:t>l</w:t>
      </w:r>
      <w:r w:rsidR="00BE7138" w:rsidRPr="00BE7138">
        <w:rPr>
          <w:sz w:val="24"/>
        </w:rPr>
        <w:t>a</w:t>
      </w:r>
      <w:r w:rsidR="00BE7138" w:rsidRPr="00BE7138">
        <w:rPr>
          <w:rFonts w:eastAsia="Times New Roman" w:cs="Times New Roman"/>
          <w:sz w:val="24"/>
          <w:lang w:eastAsia="it-IT"/>
        </w:rPr>
        <w:t xml:space="preserve"> tabell</w:t>
      </w:r>
      <w:r w:rsidR="00BE7138" w:rsidRPr="00BE7138">
        <w:rPr>
          <w:sz w:val="24"/>
        </w:rPr>
        <w:t>a</w:t>
      </w:r>
      <w:r w:rsidR="00BE7138" w:rsidRPr="00BE7138">
        <w:rPr>
          <w:rFonts w:eastAsia="Times New Roman" w:cs="Times New Roman"/>
          <w:sz w:val="24"/>
          <w:lang w:eastAsia="it-IT"/>
        </w:rPr>
        <w:t xml:space="preserve"> di cui all’Allegato I.</w:t>
      </w:r>
      <w:r w:rsidR="00BE7138" w:rsidRPr="00BE7138">
        <w:rPr>
          <w:sz w:val="24"/>
        </w:rPr>
        <w:t xml:space="preserve"> Nella</w:t>
      </w:r>
      <w:r w:rsidR="00BE7138" w:rsidRPr="00BE7138">
        <w:rPr>
          <w:rFonts w:eastAsia="Times New Roman" w:cs="Times New Roman"/>
          <w:sz w:val="24"/>
          <w:lang w:eastAsia="it-IT"/>
        </w:rPr>
        <w:t xml:space="preserve"> tabell</w:t>
      </w:r>
      <w:r w:rsidR="00BE7138" w:rsidRPr="00BE7138">
        <w:rPr>
          <w:sz w:val="24"/>
        </w:rPr>
        <w:t>a deve essere fornita, per ciascun quesito</w:t>
      </w:r>
      <w:r w:rsidR="00BE7138" w:rsidRPr="00BE7138">
        <w:rPr>
          <w:rFonts w:eastAsia="Times New Roman" w:cs="Times New Roman"/>
          <w:sz w:val="24"/>
          <w:lang w:eastAsia="it-IT"/>
        </w:rPr>
        <w:t>, una motivazione specifica e sufficientemente dettagliata per consentire di valutare il rispetto del principio di proporzionalità. La tabella</w:t>
      </w:r>
      <w:r w:rsidR="00BE7138">
        <w:rPr>
          <w:rFonts w:eastAsia="Times New Roman" w:cs="Times New Roman"/>
          <w:sz w:val="24"/>
          <w:lang w:eastAsia="it-IT"/>
        </w:rPr>
        <w:t xml:space="preserve"> </w:t>
      </w:r>
      <w:r w:rsidR="00BE7138" w:rsidRPr="00BE7138">
        <w:rPr>
          <w:sz w:val="24"/>
        </w:rPr>
        <w:t>è</w:t>
      </w:r>
      <w:r w:rsidR="00BE7138" w:rsidRPr="00BE7138">
        <w:rPr>
          <w:rFonts w:eastAsia="Times New Roman" w:cs="Times New Roman"/>
          <w:sz w:val="24"/>
          <w:lang w:eastAsia="it-IT"/>
        </w:rPr>
        <w:t xml:space="preserve"> parte integrante </w:t>
      </w:r>
      <w:r w:rsidR="00BE7138" w:rsidRPr="0078716F">
        <w:rPr>
          <w:sz w:val="24"/>
        </w:rPr>
        <w:t>della documentazione illustrativa che deve essere sempre posta a corredo</w:t>
      </w:r>
      <w:r w:rsidR="00BE7138">
        <w:rPr>
          <w:sz w:val="24"/>
        </w:rPr>
        <w:t xml:space="preserve"> </w:t>
      </w:r>
      <w:r w:rsidR="00BE7138" w:rsidRPr="00BE7138">
        <w:rPr>
          <w:rFonts w:eastAsia="Times New Roman" w:cs="Times New Roman"/>
          <w:sz w:val="24"/>
          <w:lang w:eastAsia="it-IT"/>
        </w:rPr>
        <w:t xml:space="preserve">della documentazione che accompagna </w:t>
      </w:r>
      <w:r w:rsidR="00BE7138">
        <w:rPr>
          <w:rFonts w:eastAsia="Times New Roman" w:cs="Times New Roman"/>
          <w:sz w:val="24"/>
          <w:lang w:eastAsia="it-IT"/>
        </w:rPr>
        <w:t>i provvedimenti</w:t>
      </w:r>
      <w:r w:rsidR="00BE7138">
        <w:rPr>
          <w:sz w:val="24"/>
        </w:rPr>
        <w:t>.</w:t>
      </w:r>
      <w:r w:rsidR="00190A3C">
        <w:rPr>
          <w:sz w:val="24"/>
        </w:rPr>
        <w:t xml:space="preserve"> </w:t>
      </w:r>
    </w:p>
    <w:p w14:paraId="6CCD72C8" w14:textId="77777777" w:rsidR="00CB3E75" w:rsidRDefault="00BE7138" w:rsidP="00D53341">
      <w:pPr>
        <w:jc w:val="both"/>
        <w:rPr>
          <w:sz w:val="24"/>
        </w:rPr>
      </w:pPr>
      <w:r>
        <w:rPr>
          <w:sz w:val="24"/>
        </w:rPr>
        <w:t>Il secondo comma garantisce l’</w:t>
      </w:r>
      <w:r w:rsidR="00AA7A78" w:rsidRPr="0078716F">
        <w:rPr>
          <w:sz w:val="24"/>
        </w:rPr>
        <w:t>obi</w:t>
      </w:r>
      <w:r w:rsidR="00843107" w:rsidRPr="0078716F">
        <w:rPr>
          <w:sz w:val="24"/>
        </w:rPr>
        <w:t>e</w:t>
      </w:r>
      <w:r w:rsidR="00AA7A78" w:rsidRPr="0078716F">
        <w:rPr>
          <w:sz w:val="24"/>
        </w:rPr>
        <w:t xml:space="preserve">ttività e </w:t>
      </w:r>
      <w:r>
        <w:rPr>
          <w:sz w:val="24"/>
        </w:rPr>
        <w:t>l’</w:t>
      </w:r>
      <w:r w:rsidR="00AA7A78" w:rsidRPr="0078716F">
        <w:rPr>
          <w:sz w:val="24"/>
        </w:rPr>
        <w:t>indipendenza</w:t>
      </w:r>
      <w:r w:rsidR="00730883">
        <w:rPr>
          <w:sz w:val="24"/>
        </w:rPr>
        <w:t xml:space="preserve"> – </w:t>
      </w:r>
      <w:r w:rsidR="005A1AA3">
        <w:rPr>
          <w:sz w:val="24"/>
        </w:rPr>
        <w:t xml:space="preserve">quest’ultima </w:t>
      </w:r>
      <w:r w:rsidR="00730883">
        <w:rPr>
          <w:sz w:val="24"/>
        </w:rPr>
        <w:t xml:space="preserve">intesa come imparzialità ai sensi dell’art. 97 della Costituzione </w:t>
      </w:r>
      <w:r w:rsidR="005A1AA3">
        <w:rPr>
          <w:sz w:val="24"/>
        </w:rPr>
        <w:t>–</w:t>
      </w:r>
      <w:r w:rsidR="00730883">
        <w:rPr>
          <w:sz w:val="24"/>
        </w:rPr>
        <w:t xml:space="preserve"> </w:t>
      </w:r>
      <w:r w:rsidR="005A1AA3">
        <w:rPr>
          <w:sz w:val="24"/>
        </w:rPr>
        <w:t xml:space="preserve">della valutazione, </w:t>
      </w:r>
      <w:r>
        <w:rPr>
          <w:sz w:val="24"/>
        </w:rPr>
        <w:t xml:space="preserve">richieste dalla direttiva, stabilendo che </w:t>
      </w:r>
      <w:r w:rsidR="00AA7A78" w:rsidRPr="0078716F">
        <w:rPr>
          <w:sz w:val="24"/>
        </w:rPr>
        <w:t xml:space="preserve">la verifica </w:t>
      </w:r>
      <w:r w:rsidR="00843107" w:rsidRPr="0078716F">
        <w:rPr>
          <w:sz w:val="24"/>
        </w:rPr>
        <w:t xml:space="preserve">venga </w:t>
      </w:r>
      <w:r w:rsidR="00AA7A78" w:rsidRPr="0078716F">
        <w:rPr>
          <w:sz w:val="24"/>
        </w:rPr>
        <w:t>s</w:t>
      </w:r>
      <w:r w:rsidR="00843107" w:rsidRPr="0078716F">
        <w:rPr>
          <w:sz w:val="24"/>
        </w:rPr>
        <w:t>vo</w:t>
      </w:r>
      <w:r w:rsidR="00AA7A78" w:rsidRPr="0078716F">
        <w:rPr>
          <w:sz w:val="24"/>
        </w:rPr>
        <w:t xml:space="preserve">lta </w:t>
      </w:r>
      <w:r>
        <w:rPr>
          <w:sz w:val="24"/>
        </w:rPr>
        <w:t xml:space="preserve">da un soggetto </w:t>
      </w:r>
      <w:r w:rsidR="00387F07">
        <w:rPr>
          <w:sz w:val="24"/>
        </w:rPr>
        <w:t xml:space="preserve">diverso </w:t>
      </w:r>
      <w:r>
        <w:rPr>
          <w:sz w:val="24"/>
        </w:rPr>
        <w:t xml:space="preserve">rispetto ai soggetti </w:t>
      </w:r>
      <w:r w:rsidRPr="008D7C76">
        <w:rPr>
          <w:sz w:val="24"/>
        </w:rPr>
        <w:t xml:space="preserve">regolatori. </w:t>
      </w:r>
    </w:p>
    <w:p w14:paraId="1F245C8D" w14:textId="07040E5C" w:rsidR="00B80E76" w:rsidRPr="00271E62" w:rsidRDefault="008D7C76" w:rsidP="00D53341">
      <w:pPr>
        <w:jc w:val="both"/>
      </w:pPr>
      <w:r w:rsidRPr="008D7C76">
        <w:rPr>
          <w:sz w:val="24"/>
        </w:rPr>
        <w:t xml:space="preserve"> </w:t>
      </w:r>
      <w:r w:rsidR="00190A3C" w:rsidRPr="00D53341">
        <w:rPr>
          <w:sz w:val="24"/>
        </w:rPr>
        <w:t>Ai fini del</w:t>
      </w:r>
      <w:r w:rsidR="00776F39" w:rsidRPr="00D53341">
        <w:rPr>
          <w:sz w:val="24"/>
        </w:rPr>
        <w:t>l’</w:t>
      </w:r>
      <w:r w:rsidR="00190A3C" w:rsidRPr="00D53341">
        <w:rPr>
          <w:sz w:val="24"/>
        </w:rPr>
        <w:t>adeguamento all’articolazione istituzionale interna</w:t>
      </w:r>
      <w:r w:rsidR="004D7710" w:rsidRPr="00D53341">
        <w:rPr>
          <w:sz w:val="24"/>
        </w:rPr>
        <w:t xml:space="preserve"> e</w:t>
      </w:r>
      <w:r w:rsidR="00190A3C" w:rsidRPr="00D53341">
        <w:rPr>
          <w:sz w:val="24"/>
        </w:rPr>
        <w:t xml:space="preserve"> in considerazione delle diverse e plurali modalità di adozione d</w:t>
      </w:r>
      <w:r w:rsidR="00776F39" w:rsidRPr="00D53341">
        <w:rPr>
          <w:sz w:val="24"/>
        </w:rPr>
        <w:t>elle</w:t>
      </w:r>
      <w:r w:rsidR="00190A3C" w:rsidRPr="00D53341">
        <w:rPr>
          <w:sz w:val="24"/>
        </w:rPr>
        <w:t xml:space="preserve"> disposizioni riguardanti l’accesso alle professioni regolamentate, si è ritenuto di </w:t>
      </w:r>
      <w:r w:rsidR="00776F39" w:rsidRPr="00D53341">
        <w:rPr>
          <w:sz w:val="24"/>
        </w:rPr>
        <w:t xml:space="preserve">diversificare le procedure di valutazione </w:t>
      </w:r>
      <w:r w:rsidR="00CB3E75">
        <w:rPr>
          <w:sz w:val="24"/>
        </w:rPr>
        <w:t>come segue</w:t>
      </w:r>
      <w:r w:rsidR="00776F39" w:rsidRPr="00D53341">
        <w:rPr>
          <w:sz w:val="24"/>
        </w:rPr>
        <w:t>.</w:t>
      </w:r>
      <w:r w:rsidR="004D7710" w:rsidRPr="00D53341">
        <w:rPr>
          <w:sz w:val="24"/>
        </w:rPr>
        <w:t xml:space="preserve"> In particolare, a</w:t>
      </w:r>
      <w:r w:rsidR="008D717D" w:rsidRPr="00D53341">
        <w:rPr>
          <w:sz w:val="24"/>
        </w:rPr>
        <w:t>l terzo comma</w:t>
      </w:r>
      <w:r>
        <w:rPr>
          <w:sz w:val="24"/>
        </w:rPr>
        <w:t xml:space="preserve">, </w:t>
      </w:r>
      <w:r w:rsidR="008D717D" w:rsidRPr="00D53341">
        <w:rPr>
          <w:sz w:val="24"/>
        </w:rPr>
        <w:t>s</w:t>
      </w:r>
      <w:r w:rsidR="00BE7138" w:rsidRPr="00D53341">
        <w:rPr>
          <w:sz w:val="24"/>
        </w:rPr>
        <w:t>i prevede che le disposizion</w:t>
      </w:r>
      <w:r w:rsidR="00E838E2" w:rsidRPr="00D53341">
        <w:rPr>
          <w:sz w:val="24"/>
        </w:rPr>
        <w:t>i normative,</w:t>
      </w:r>
      <w:r w:rsidR="00BE7138" w:rsidRPr="00D53341">
        <w:rPr>
          <w:sz w:val="24"/>
        </w:rPr>
        <w:t xml:space="preserve"> </w:t>
      </w:r>
      <w:r w:rsidR="006219BA" w:rsidRPr="00D53341">
        <w:rPr>
          <w:sz w:val="24"/>
        </w:rPr>
        <w:t>legis</w:t>
      </w:r>
      <w:r w:rsidR="005A1AA3" w:rsidRPr="00D53341">
        <w:rPr>
          <w:sz w:val="24"/>
        </w:rPr>
        <w:t>l</w:t>
      </w:r>
      <w:r w:rsidR="006219BA" w:rsidRPr="00D53341">
        <w:rPr>
          <w:sz w:val="24"/>
        </w:rPr>
        <w:t>ative o regolamentari</w:t>
      </w:r>
      <w:r w:rsidR="00E838E2" w:rsidRPr="00D53341">
        <w:rPr>
          <w:sz w:val="24"/>
        </w:rPr>
        <w:t>,</w:t>
      </w:r>
      <w:r w:rsidR="006219BA" w:rsidRPr="00D53341">
        <w:rPr>
          <w:sz w:val="24"/>
        </w:rPr>
        <w:t xml:space="preserve"> </w:t>
      </w:r>
      <w:r w:rsidR="00A77A9D">
        <w:rPr>
          <w:sz w:val="24"/>
        </w:rPr>
        <w:t xml:space="preserve">nonché gli atti amministrativi di carattere generale </w:t>
      </w:r>
      <w:r w:rsidR="00BE7138" w:rsidRPr="00D53341">
        <w:rPr>
          <w:sz w:val="24"/>
        </w:rPr>
        <w:t>oggetto della disciplina introdotta dal decreto legislativo unitamente alla tabella</w:t>
      </w:r>
      <w:r w:rsidR="006219BA" w:rsidRPr="00D53341">
        <w:rPr>
          <w:sz w:val="24"/>
        </w:rPr>
        <w:t xml:space="preserve"> di cui al primo comma</w:t>
      </w:r>
      <w:r w:rsidR="003B48CB" w:rsidRPr="00D53341">
        <w:rPr>
          <w:sz w:val="24"/>
        </w:rPr>
        <w:t>,</w:t>
      </w:r>
      <w:r w:rsidR="00BE7138" w:rsidRPr="00D53341">
        <w:rPr>
          <w:sz w:val="24"/>
        </w:rPr>
        <w:t xml:space="preserve"> </w:t>
      </w:r>
      <w:r w:rsidR="000102BB">
        <w:rPr>
          <w:sz w:val="24"/>
        </w:rPr>
        <w:t xml:space="preserve"> siano soggette al parere dell</w:t>
      </w:r>
      <w:r w:rsidR="00AD37FB" w:rsidRPr="00D53341">
        <w:rPr>
          <w:sz w:val="24"/>
        </w:rPr>
        <w:t xml:space="preserve">’Autorità garante della concorrenza e del mercato ai </w:t>
      </w:r>
      <w:r w:rsidR="003B48CB" w:rsidRPr="00D53341">
        <w:rPr>
          <w:sz w:val="24"/>
        </w:rPr>
        <w:t xml:space="preserve">fini della </w:t>
      </w:r>
      <w:r w:rsidR="00AF2172" w:rsidRPr="00D53341">
        <w:rPr>
          <w:sz w:val="24"/>
        </w:rPr>
        <w:t xml:space="preserve">verifica </w:t>
      </w:r>
      <w:r w:rsidR="003B48CB" w:rsidRPr="00D53341">
        <w:rPr>
          <w:sz w:val="24"/>
        </w:rPr>
        <w:t>del</w:t>
      </w:r>
      <w:r w:rsidR="00AF2172" w:rsidRPr="00D53341">
        <w:rPr>
          <w:sz w:val="24"/>
        </w:rPr>
        <w:t xml:space="preserve">l’adeguatezza e </w:t>
      </w:r>
      <w:r w:rsidR="003B48CB" w:rsidRPr="00D53341">
        <w:rPr>
          <w:sz w:val="24"/>
        </w:rPr>
        <w:t>del</w:t>
      </w:r>
      <w:r w:rsidR="00AF2172" w:rsidRPr="00D53341">
        <w:rPr>
          <w:sz w:val="24"/>
        </w:rPr>
        <w:t xml:space="preserve">la completezza della valutazione di proporzionalità svolta </w:t>
      </w:r>
      <w:r w:rsidR="003B48CB" w:rsidRPr="00D53341">
        <w:rPr>
          <w:sz w:val="24"/>
        </w:rPr>
        <w:t xml:space="preserve">dalle Amministrazioni proponenti </w:t>
      </w:r>
      <w:r w:rsidR="000C2732" w:rsidRPr="00D53341">
        <w:rPr>
          <w:sz w:val="24"/>
        </w:rPr>
        <w:t>secondo quanto stabilito nel primo comma.</w:t>
      </w:r>
      <w:r w:rsidR="0029121B" w:rsidRPr="00D53341">
        <w:rPr>
          <w:sz w:val="24"/>
        </w:rPr>
        <w:t xml:space="preserve"> </w:t>
      </w:r>
      <w:r w:rsidR="00271E62">
        <w:rPr>
          <w:sz w:val="24"/>
        </w:rPr>
        <w:t xml:space="preserve">Si segnala che la disposizione di cui al comma in parola appare coerente con </w:t>
      </w:r>
      <w:r w:rsidR="0029121B" w:rsidRPr="00D53341">
        <w:rPr>
          <w:sz w:val="24"/>
        </w:rPr>
        <w:t xml:space="preserve">l’attività </w:t>
      </w:r>
      <w:r w:rsidR="00271E62">
        <w:rPr>
          <w:sz w:val="24"/>
        </w:rPr>
        <w:t xml:space="preserve">già </w:t>
      </w:r>
      <w:r w:rsidR="0029121B" w:rsidRPr="00D53341">
        <w:rPr>
          <w:sz w:val="24"/>
        </w:rPr>
        <w:t>svolta da detta Autorità in base all’art. 34, comma 5, del decreto-legge</w:t>
      </w:r>
      <w:r w:rsidR="006229A7" w:rsidRPr="00D53341">
        <w:rPr>
          <w:sz w:val="24"/>
        </w:rPr>
        <w:t xml:space="preserve"> </w:t>
      </w:r>
      <w:r w:rsidR="00A47AF1" w:rsidRPr="00D53341">
        <w:rPr>
          <w:sz w:val="24"/>
        </w:rPr>
        <w:t>6 dicembre 2011, n. 201, recante Disposizioni urgenti per la crescita, l’</w:t>
      </w:r>
      <w:proofErr w:type="spellStart"/>
      <w:r w:rsidR="00A47AF1" w:rsidRPr="00D53341">
        <w:rPr>
          <w:sz w:val="24"/>
        </w:rPr>
        <w:t>equita</w:t>
      </w:r>
      <w:proofErr w:type="spellEnd"/>
      <w:r w:rsidR="00A47AF1" w:rsidRPr="00D53341">
        <w:rPr>
          <w:sz w:val="24"/>
        </w:rPr>
        <w:t xml:space="preserve">̀ e il consolidamento dei conti pubblici e </w:t>
      </w:r>
      <w:r w:rsidR="006229A7" w:rsidRPr="00D53341">
        <w:rPr>
          <w:sz w:val="24"/>
        </w:rPr>
        <w:t xml:space="preserve">convertito con modificazioni dalla </w:t>
      </w:r>
      <w:r w:rsidR="002046DE" w:rsidRPr="00D53341">
        <w:rPr>
          <w:sz w:val="24"/>
        </w:rPr>
        <w:t>legge</w:t>
      </w:r>
      <w:r w:rsidR="006229A7" w:rsidRPr="00D53341">
        <w:rPr>
          <w:sz w:val="24"/>
        </w:rPr>
        <w:t xml:space="preserve"> 22 dicembre 2011, n. 214, a tenore del quale</w:t>
      </w:r>
      <w:r w:rsidR="00943E48" w:rsidRPr="00D53341">
        <w:rPr>
          <w:sz w:val="24"/>
        </w:rPr>
        <w:t xml:space="preserve"> </w:t>
      </w:r>
      <w:r w:rsidR="006229A7" w:rsidRPr="00D53341">
        <w:rPr>
          <w:sz w:val="24"/>
        </w:rPr>
        <w:t>«l</w:t>
      </w:r>
      <w:r w:rsidR="0029121B" w:rsidRPr="00D53341">
        <w:rPr>
          <w:sz w:val="24"/>
        </w:rPr>
        <w:t>’Autorità garante della concorrenza e del mercato è tenuta  a rendere parere obbligatorio, da rendere nel termine di trenta giorni decorrenti dalla ricezione del provvedimento, in merito  al  rispetto del principio di proporzionalità sui disegni di legge governativi e i regolamenti che introducono restrizioni all</w:t>
      </w:r>
      <w:r w:rsidR="0003255D" w:rsidRPr="00D53341">
        <w:rPr>
          <w:sz w:val="24"/>
        </w:rPr>
        <w:t>’</w:t>
      </w:r>
      <w:r w:rsidR="0029121B" w:rsidRPr="00D53341">
        <w:rPr>
          <w:sz w:val="24"/>
        </w:rPr>
        <w:t>accesso e all</w:t>
      </w:r>
      <w:r w:rsidR="0003255D" w:rsidRPr="00D53341">
        <w:rPr>
          <w:sz w:val="24"/>
        </w:rPr>
        <w:t>’</w:t>
      </w:r>
      <w:r w:rsidR="0029121B" w:rsidRPr="00D53341">
        <w:rPr>
          <w:sz w:val="24"/>
        </w:rPr>
        <w:t>esercizio di attivit</w:t>
      </w:r>
      <w:r w:rsidR="006229A7" w:rsidRPr="00D53341">
        <w:rPr>
          <w:sz w:val="24"/>
        </w:rPr>
        <w:t>à</w:t>
      </w:r>
      <w:r w:rsidR="0029121B" w:rsidRPr="00D53341">
        <w:rPr>
          <w:sz w:val="24"/>
        </w:rPr>
        <w:t xml:space="preserve"> economiche</w:t>
      </w:r>
      <w:r w:rsidR="006229A7" w:rsidRPr="00D53341">
        <w:rPr>
          <w:sz w:val="24"/>
        </w:rPr>
        <w:t>»</w:t>
      </w:r>
      <w:r w:rsidR="0029121B" w:rsidRPr="00D53341">
        <w:rPr>
          <w:sz w:val="24"/>
        </w:rPr>
        <w:t xml:space="preserve">. </w:t>
      </w:r>
    </w:p>
    <w:p w14:paraId="7410440F" w14:textId="2A9E34B6" w:rsidR="00C947EA" w:rsidRPr="008D7C76" w:rsidRDefault="00596C54" w:rsidP="005579DA">
      <w:pPr>
        <w:pStyle w:val="provvr0"/>
        <w:spacing w:before="0" w:beforeAutospacing="0" w:after="0"/>
        <w:rPr>
          <w:highlight w:val="yellow"/>
        </w:rPr>
      </w:pPr>
      <w:r w:rsidRPr="008D7C76">
        <w:t xml:space="preserve">In base al </w:t>
      </w:r>
      <w:r w:rsidR="007B7B38">
        <w:t>quarto</w:t>
      </w:r>
      <w:r w:rsidR="007B7B38" w:rsidRPr="008D7C76">
        <w:t xml:space="preserve"> </w:t>
      </w:r>
      <w:r w:rsidRPr="008D7C76">
        <w:t xml:space="preserve">comma, </w:t>
      </w:r>
      <w:r w:rsidR="002A5AD6">
        <w:t xml:space="preserve">anche </w:t>
      </w:r>
      <w:r w:rsidRPr="008D7C76">
        <w:t>qualora le disposizioni si</w:t>
      </w:r>
      <w:r w:rsidR="00B055CB" w:rsidRPr="008D7C76">
        <w:t>a</w:t>
      </w:r>
      <w:r w:rsidRPr="008D7C76">
        <w:t xml:space="preserve">no adottate dalle regioni </w:t>
      </w:r>
      <w:r w:rsidR="002A5AD6">
        <w:t xml:space="preserve">a statuto ordinario e da quelle </w:t>
      </w:r>
      <w:r w:rsidR="00B80E76" w:rsidRPr="008D7C76">
        <w:t xml:space="preserve">a statuto speciale e </w:t>
      </w:r>
      <w:r w:rsidRPr="008D7C76">
        <w:t>dall</w:t>
      </w:r>
      <w:r w:rsidR="00B80E76" w:rsidRPr="008D7C76">
        <w:t>e province autonome di Trento e di Bolzano</w:t>
      </w:r>
      <w:r w:rsidRPr="008D7C76">
        <w:t>, per le quali sussi</w:t>
      </w:r>
      <w:r w:rsidR="005A1AA3" w:rsidRPr="008D7C76">
        <w:t>s</w:t>
      </w:r>
      <w:r w:rsidRPr="008D7C76">
        <w:t>te u</w:t>
      </w:r>
      <w:r w:rsidR="005A1AA3" w:rsidRPr="008D7C76">
        <w:t>n</w:t>
      </w:r>
      <w:r w:rsidRPr="008D7C76">
        <w:t xml:space="preserve">a </w:t>
      </w:r>
      <w:r w:rsidR="00B80E76" w:rsidRPr="008D7C76">
        <w:t>competenza esclusiva</w:t>
      </w:r>
      <w:r w:rsidRPr="008D7C76">
        <w:t xml:space="preserve"> in materia di professioni</w:t>
      </w:r>
      <w:r w:rsidR="00B80E76" w:rsidRPr="008D7C76">
        <w:t>, ai sensi</w:t>
      </w:r>
      <w:r w:rsidRPr="008D7C76">
        <w:t xml:space="preserve"> dell’art. 5, comma 1, lettera m) del decreto Legislativo 6 novembre 2007, n. 206, la </w:t>
      </w:r>
      <w:r w:rsidR="006219BA" w:rsidRPr="008D7C76">
        <w:t xml:space="preserve">valutazione di proporzionalità viene effettuata </w:t>
      </w:r>
      <w:r w:rsidR="002A5AD6">
        <w:t>dall’</w:t>
      </w:r>
      <w:r w:rsidR="002A5AD6" w:rsidRPr="00E5041C">
        <w:rPr>
          <w:rFonts w:eastAsiaTheme="minorHAnsi" w:cs="Times New Roman (Corpo CS)"/>
          <w:lang w:eastAsia="en-US"/>
        </w:rPr>
        <w:t xml:space="preserve">Autorità garante della concorrenza e del mercato </w:t>
      </w:r>
      <w:r w:rsidR="002A5AD6">
        <w:rPr>
          <w:rFonts w:eastAsiaTheme="minorHAnsi" w:cs="Times New Roman (Corpo CS)"/>
          <w:lang w:eastAsia="en-US"/>
        </w:rPr>
        <w:t>ai sensi del comma 3 del presente decreto.</w:t>
      </w:r>
    </w:p>
    <w:p w14:paraId="50FF4678" w14:textId="5B99199E" w:rsidR="003B48CB" w:rsidRPr="008D7C76" w:rsidRDefault="00C947EA" w:rsidP="005579DA">
      <w:pPr>
        <w:pStyle w:val="provvr0"/>
        <w:spacing w:before="0" w:beforeAutospacing="0" w:after="0"/>
      </w:pPr>
      <w:r w:rsidRPr="008D7C76">
        <w:t xml:space="preserve">Per la valutazione </w:t>
      </w:r>
      <w:r w:rsidR="00686C14" w:rsidRPr="008D7C76">
        <w:t>dei</w:t>
      </w:r>
      <w:r w:rsidRPr="008D7C76">
        <w:t xml:space="preserve"> requisiti contenuti in atti di iniziativa parlamentare, </w:t>
      </w:r>
      <w:r w:rsidR="00686C14" w:rsidRPr="008D7C76">
        <w:t xml:space="preserve">non disciplinati nel presente decreto, </w:t>
      </w:r>
      <w:r w:rsidRPr="008D7C76">
        <w:t>si rinvia all’autonomia re</w:t>
      </w:r>
      <w:r w:rsidR="00686C14" w:rsidRPr="008D7C76">
        <w:t>golamentare</w:t>
      </w:r>
      <w:r w:rsidRPr="008D7C76">
        <w:t xml:space="preserve"> dell</w:t>
      </w:r>
      <w:r w:rsidR="00686C14" w:rsidRPr="008D7C76">
        <w:t>e</w:t>
      </w:r>
      <w:r w:rsidRPr="008D7C76">
        <w:t xml:space="preserve"> camere</w:t>
      </w:r>
      <w:r w:rsidR="00686C14" w:rsidRPr="008D7C76">
        <w:t xml:space="preserve"> e al successivo coordinamento tra le competenti strutture governative per assicurare il monitoraggio di tali disposizioni.</w:t>
      </w:r>
      <w:r w:rsidRPr="008D7C76">
        <w:t xml:space="preserve">     </w:t>
      </w:r>
      <w:r w:rsidR="006219BA" w:rsidRPr="008D7C76">
        <w:t xml:space="preserve">  </w:t>
      </w:r>
    </w:p>
    <w:p w14:paraId="6FAE751A" w14:textId="3E6A2A8F" w:rsidR="00FC1F2D" w:rsidRDefault="00F876BF" w:rsidP="00AC78C3">
      <w:pPr>
        <w:jc w:val="both"/>
        <w:rPr>
          <w:sz w:val="24"/>
        </w:rPr>
      </w:pPr>
      <w:r>
        <w:rPr>
          <w:sz w:val="24"/>
        </w:rPr>
        <w:lastRenderedPageBreak/>
        <w:t>In base al</w:t>
      </w:r>
      <w:r w:rsidRPr="008D7C76">
        <w:rPr>
          <w:sz w:val="24"/>
        </w:rPr>
        <w:t xml:space="preserve"> </w:t>
      </w:r>
      <w:r w:rsidR="00295ABD">
        <w:rPr>
          <w:sz w:val="24"/>
        </w:rPr>
        <w:t>quinto</w:t>
      </w:r>
      <w:r w:rsidR="00295ABD" w:rsidRPr="008D7C76">
        <w:rPr>
          <w:sz w:val="24"/>
        </w:rPr>
        <w:t xml:space="preserve"> </w:t>
      </w:r>
      <w:r w:rsidR="000C2732" w:rsidRPr="008D7C76">
        <w:rPr>
          <w:sz w:val="24"/>
        </w:rPr>
        <w:t>comma</w:t>
      </w:r>
      <w:r>
        <w:rPr>
          <w:sz w:val="24"/>
        </w:rPr>
        <w:t xml:space="preserve"> restano esclusi dal</w:t>
      </w:r>
      <w:r w:rsidR="00FC1F2D">
        <w:rPr>
          <w:sz w:val="24"/>
        </w:rPr>
        <w:t xml:space="preserve"> parere dell’Autorità garante della concorrenza e del mercato </w:t>
      </w:r>
      <w:r w:rsidR="00F21318">
        <w:rPr>
          <w:sz w:val="24"/>
        </w:rPr>
        <w:t xml:space="preserve">gli atti </w:t>
      </w:r>
      <w:r w:rsidR="00F21318" w:rsidRPr="00F21318">
        <w:rPr>
          <w:sz w:val="24"/>
        </w:rPr>
        <w:t>adottati dagli ordini professionali</w:t>
      </w:r>
      <w:r w:rsidR="00F21318">
        <w:rPr>
          <w:sz w:val="24"/>
        </w:rPr>
        <w:t xml:space="preserve">, che sono soggetti al parere delle amministrazioni vigilanti </w:t>
      </w:r>
      <w:r w:rsidR="00F21318" w:rsidRPr="00D53341">
        <w:rPr>
          <w:sz w:val="24"/>
        </w:rPr>
        <w:t>ai fini della verifica dell’adeguatezza e della completezza della valutazione di proporzionalità</w:t>
      </w:r>
      <w:r w:rsidR="00F21318">
        <w:rPr>
          <w:sz w:val="24"/>
        </w:rPr>
        <w:t>.</w:t>
      </w:r>
    </w:p>
    <w:p w14:paraId="6C3F3ABD" w14:textId="770137A4" w:rsidR="000C2732" w:rsidRPr="008D7C76" w:rsidRDefault="00FC1F2D" w:rsidP="00AC78C3">
      <w:pPr>
        <w:jc w:val="both"/>
        <w:rPr>
          <w:sz w:val="24"/>
        </w:rPr>
      </w:pPr>
      <w:r>
        <w:rPr>
          <w:sz w:val="24"/>
        </w:rPr>
        <w:t>Il sesto comma</w:t>
      </w:r>
      <w:r w:rsidR="000C2732" w:rsidRPr="008D7C76">
        <w:rPr>
          <w:sz w:val="24"/>
        </w:rPr>
        <w:t xml:space="preserve"> assicura il monitoraggio</w:t>
      </w:r>
      <w:r w:rsidR="00A12C07" w:rsidRPr="008D7C76">
        <w:rPr>
          <w:sz w:val="24"/>
        </w:rPr>
        <w:t xml:space="preserve"> a valle</w:t>
      </w:r>
      <w:r w:rsidR="000C2732" w:rsidRPr="008D7C76">
        <w:rPr>
          <w:sz w:val="24"/>
        </w:rPr>
        <w:t xml:space="preserve"> richiesto dalla direttiva, stabilendo che i soggetti regolatori verificano, dopo l’adozione, la conformità con il principio di proporzionalità delle disposizioni legislative, regolamentari o amministrative, nuove o modificate, che limitano l’accesso alle professioni regolamentate o il loro esercizio, avendo riguardo agli eventuali sviluppi sopravvenuti successivamente all’adozione delle disposizioni medesime.</w:t>
      </w:r>
    </w:p>
    <w:p w14:paraId="50BD59FF" w14:textId="77777777" w:rsidR="00104AE5" w:rsidRDefault="00104AE5" w:rsidP="00D16689">
      <w:pPr>
        <w:jc w:val="both"/>
        <w:rPr>
          <w:sz w:val="24"/>
        </w:rPr>
      </w:pPr>
    </w:p>
    <w:p w14:paraId="0B3276DD" w14:textId="72979B72" w:rsidR="0044618C" w:rsidRDefault="00352E0F" w:rsidP="00772512">
      <w:pPr>
        <w:jc w:val="both"/>
        <w:rPr>
          <w:sz w:val="24"/>
        </w:rPr>
      </w:pPr>
      <w:r w:rsidRPr="00352E0F">
        <w:rPr>
          <w:b/>
          <w:sz w:val="24"/>
        </w:rPr>
        <w:t xml:space="preserve">L’articolo </w:t>
      </w:r>
      <w:r w:rsidR="0080051E">
        <w:rPr>
          <w:b/>
          <w:sz w:val="24"/>
        </w:rPr>
        <w:t>4</w:t>
      </w:r>
      <w:r w:rsidR="004E052D">
        <w:rPr>
          <w:b/>
          <w:sz w:val="24"/>
        </w:rPr>
        <w:t xml:space="preserve"> </w:t>
      </w:r>
      <w:r w:rsidR="004E052D">
        <w:rPr>
          <w:sz w:val="24"/>
        </w:rPr>
        <w:t>assicura che la disciplina che si introduce sia conforme ad alcuni dei princìpi fondamentali del diritto dell’Unione.</w:t>
      </w:r>
      <w:r w:rsidR="004E052D">
        <w:rPr>
          <w:b/>
          <w:sz w:val="24"/>
        </w:rPr>
        <w:t xml:space="preserve"> </w:t>
      </w:r>
      <w:r w:rsidR="004E052D">
        <w:rPr>
          <w:sz w:val="24"/>
        </w:rPr>
        <w:t xml:space="preserve">Il primo comma fa riferimento al </w:t>
      </w:r>
      <w:r>
        <w:rPr>
          <w:sz w:val="24"/>
        </w:rPr>
        <w:t xml:space="preserve">principio di non discriminazione, </w:t>
      </w:r>
      <w:r w:rsidR="004E052D">
        <w:rPr>
          <w:sz w:val="24"/>
        </w:rPr>
        <w:t>in base al quale</w:t>
      </w:r>
      <w:r>
        <w:rPr>
          <w:sz w:val="24"/>
        </w:rPr>
        <w:t xml:space="preserve"> le</w:t>
      </w:r>
      <w:r w:rsidRPr="00352E0F">
        <w:rPr>
          <w:sz w:val="24"/>
        </w:rPr>
        <w:t xml:space="preserve"> nuove disposizioni legislative, regolamentari o amministrative che limit</w:t>
      </w:r>
      <w:r>
        <w:rPr>
          <w:sz w:val="24"/>
        </w:rPr>
        <w:t>i</w:t>
      </w:r>
      <w:r w:rsidRPr="00352E0F">
        <w:rPr>
          <w:sz w:val="24"/>
        </w:rPr>
        <w:t xml:space="preserve">no l’accesso alle professioni regolamentate o il loro esercizio, o </w:t>
      </w:r>
      <w:r>
        <w:rPr>
          <w:sz w:val="24"/>
        </w:rPr>
        <w:t>le modifiche</w:t>
      </w:r>
      <w:r w:rsidRPr="00352E0F">
        <w:rPr>
          <w:sz w:val="24"/>
        </w:rPr>
        <w:t xml:space="preserve"> </w:t>
      </w:r>
      <w:r w:rsidR="00370BCC">
        <w:rPr>
          <w:sz w:val="24"/>
        </w:rPr>
        <w:t xml:space="preserve">di </w:t>
      </w:r>
      <w:r w:rsidRPr="00352E0F">
        <w:rPr>
          <w:sz w:val="24"/>
        </w:rPr>
        <w:t xml:space="preserve">quelle esistenti, </w:t>
      </w:r>
      <w:r>
        <w:rPr>
          <w:sz w:val="24"/>
        </w:rPr>
        <w:t>non possono essere</w:t>
      </w:r>
      <w:r w:rsidRPr="00352E0F">
        <w:rPr>
          <w:sz w:val="24"/>
        </w:rPr>
        <w:t xml:space="preserve"> direttamente o indirettamente discriminatorie sulla base della </w:t>
      </w:r>
      <w:proofErr w:type="spellStart"/>
      <w:r w:rsidRPr="00352E0F">
        <w:rPr>
          <w:sz w:val="24"/>
        </w:rPr>
        <w:t>nazionalita</w:t>
      </w:r>
      <w:proofErr w:type="spellEnd"/>
      <w:r w:rsidRPr="00352E0F">
        <w:rPr>
          <w:sz w:val="24"/>
        </w:rPr>
        <w:t>̀ o della residenza</w:t>
      </w:r>
      <w:r>
        <w:rPr>
          <w:sz w:val="24"/>
        </w:rPr>
        <w:t>.</w:t>
      </w:r>
      <w:r w:rsidR="004E052D">
        <w:rPr>
          <w:sz w:val="24"/>
        </w:rPr>
        <w:t xml:space="preserve"> Il secondo comma </w:t>
      </w:r>
      <w:r w:rsidR="00772512">
        <w:rPr>
          <w:sz w:val="24"/>
        </w:rPr>
        <w:t xml:space="preserve">ammette l’introduzione di disposizioni </w:t>
      </w:r>
      <w:r w:rsidR="00772512" w:rsidRPr="00772512">
        <w:rPr>
          <w:sz w:val="24"/>
        </w:rPr>
        <w:t>volte a limitare l’accesso alle professioni regolamentate o il loro esercizio</w:t>
      </w:r>
      <w:r w:rsidR="00772512">
        <w:rPr>
          <w:sz w:val="24"/>
        </w:rPr>
        <w:t xml:space="preserve">, a condizione che siano obiettivamente </w:t>
      </w:r>
      <w:r w:rsidR="00772512" w:rsidRPr="00772512">
        <w:rPr>
          <w:sz w:val="24"/>
        </w:rPr>
        <w:t>giustificate da motivi di interesse generale</w:t>
      </w:r>
      <w:r w:rsidR="00F61C45">
        <w:rPr>
          <w:sz w:val="24"/>
        </w:rPr>
        <w:t>, secondo quanto disposto dall’art. 6 e dal considerando n. 17 della direttiva.</w:t>
      </w:r>
      <w:r w:rsidR="00772512" w:rsidRPr="00772512">
        <w:rPr>
          <w:sz w:val="24"/>
        </w:rPr>
        <w:t xml:space="preserve"> </w:t>
      </w:r>
      <w:r w:rsidR="00370BCC">
        <w:rPr>
          <w:sz w:val="24"/>
        </w:rPr>
        <w:t>L’elenc</w:t>
      </w:r>
      <w:r w:rsidR="00BB0D8D">
        <w:rPr>
          <w:sz w:val="24"/>
        </w:rPr>
        <w:t>o</w:t>
      </w:r>
      <w:r w:rsidR="00370BCC">
        <w:rPr>
          <w:sz w:val="24"/>
        </w:rPr>
        <w:t xml:space="preserve"> dei motivi</w:t>
      </w:r>
      <w:r w:rsidR="0024549C">
        <w:rPr>
          <w:sz w:val="24"/>
        </w:rPr>
        <w:t xml:space="preserve"> non è peraltro esaustiv</w:t>
      </w:r>
      <w:r w:rsidR="00BB0D8D">
        <w:rPr>
          <w:sz w:val="24"/>
        </w:rPr>
        <w:t>o</w:t>
      </w:r>
      <w:r w:rsidR="00370BCC">
        <w:rPr>
          <w:sz w:val="24"/>
        </w:rPr>
        <w:t xml:space="preserve"> ma e</w:t>
      </w:r>
      <w:r w:rsidR="0024549C">
        <w:rPr>
          <w:sz w:val="24"/>
        </w:rPr>
        <w:t>s</w:t>
      </w:r>
      <w:r w:rsidR="00370BCC">
        <w:rPr>
          <w:sz w:val="24"/>
        </w:rPr>
        <w:t>emplificativ</w:t>
      </w:r>
      <w:r w:rsidR="00BB0D8D">
        <w:rPr>
          <w:sz w:val="24"/>
        </w:rPr>
        <w:t>o</w:t>
      </w:r>
      <w:r w:rsidR="00370BCC">
        <w:rPr>
          <w:sz w:val="24"/>
        </w:rPr>
        <w:t xml:space="preserve">: </w:t>
      </w:r>
      <w:r w:rsidR="00772512" w:rsidRPr="00772512">
        <w:rPr>
          <w:sz w:val="24"/>
        </w:rPr>
        <w:t xml:space="preserve"> ordine pubblico, sicurezza pubblica o sanità pubblica, o motivi imperativi di interesse pubblico, come il mantenimento dell’equilibrio finanziario del sistema di sicurezza sociale; la tutela dei consumatori, dei destinatari di servizi e dei lavoratori; la salvaguardia della buona amministrazione della giustizia; la garanzia dell’equità delle transazioni commerciali; la lotta contro la frode e la prevenzione dell’evasione e dell’elusione fiscali, nonché la salvaguardia dell’efficacia dei controlli fiscali; la sicurezza dei trasporti; la tutela dell’ambiente, inclus</w:t>
      </w:r>
      <w:r w:rsidR="00FF6DE4">
        <w:rPr>
          <w:sz w:val="24"/>
        </w:rPr>
        <w:t>i</w:t>
      </w:r>
      <w:r w:rsidR="00772512" w:rsidRPr="00772512">
        <w:rPr>
          <w:sz w:val="24"/>
        </w:rPr>
        <w:t xml:space="preserve"> l’ambiente urbano</w:t>
      </w:r>
      <w:r w:rsidR="00CD2716">
        <w:rPr>
          <w:sz w:val="24"/>
        </w:rPr>
        <w:t xml:space="preserve"> e il paesaggio</w:t>
      </w:r>
      <w:r w:rsidR="00772512" w:rsidRPr="00772512">
        <w:rPr>
          <w:sz w:val="24"/>
        </w:rPr>
        <w:t>; la salute degli animali; la proprietà intellettuale; la salvaguardia e la conservazione del patrimonio storico e artistico nazionale; gli obiettivi di politica sociale e gli obiettivi di politica culturale.</w:t>
      </w:r>
      <w:r w:rsidR="00772512">
        <w:rPr>
          <w:sz w:val="24"/>
        </w:rPr>
        <w:t xml:space="preserve"> Il </w:t>
      </w:r>
      <w:r w:rsidR="00065487">
        <w:rPr>
          <w:sz w:val="24"/>
        </w:rPr>
        <w:t>terzo comma</w:t>
      </w:r>
      <w:r w:rsidR="00772512">
        <w:rPr>
          <w:sz w:val="24"/>
        </w:rPr>
        <w:t xml:space="preserve"> specifica che l</w:t>
      </w:r>
      <w:r w:rsidR="00772512" w:rsidRPr="00772512">
        <w:rPr>
          <w:sz w:val="24"/>
        </w:rPr>
        <w:t>’accesso alle professioni regolamentate o il loro esercizio non può essere limitato da motivi di natura esclusivamente economica o amministrativa.</w:t>
      </w:r>
      <w:r w:rsidR="00065487">
        <w:rPr>
          <w:sz w:val="24"/>
        </w:rPr>
        <w:t xml:space="preserve"> Il quarto comma, </w:t>
      </w:r>
      <w:r w:rsidR="0044618C" w:rsidRPr="000C2732">
        <w:rPr>
          <w:sz w:val="24"/>
        </w:rPr>
        <w:t>in attuazione del principio di proporzionalità</w:t>
      </w:r>
      <w:r w:rsidR="0044618C">
        <w:rPr>
          <w:sz w:val="24"/>
        </w:rPr>
        <w:t xml:space="preserve">, stabilisce che </w:t>
      </w:r>
      <w:r w:rsidR="0044618C" w:rsidRPr="0044618C">
        <w:rPr>
          <w:sz w:val="24"/>
        </w:rPr>
        <w:t xml:space="preserve">disposizioni </w:t>
      </w:r>
      <w:r w:rsidR="00065487">
        <w:rPr>
          <w:sz w:val="24"/>
        </w:rPr>
        <w:t>di cui al primo comma</w:t>
      </w:r>
      <w:r w:rsidR="0044618C" w:rsidRPr="0044618C">
        <w:rPr>
          <w:sz w:val="24"/>
        </w:rPr>
        <w:t xml:space="preserve"> devono essere </w:t>
      </w:r>
      <w:r w:rsidR="0044618C">
        <w:rPr>
          <w:sz w:val="24"/>
        </w:rPr>
        <w:t>adeguate al</w:t>
      </w:r>
      <w:r w:rsidR="0044618C" w:rsidRPr="0044618C">
        <w:rPr>
          <w:sz w:val="24"/>
        </w:rPr>
        <w:t xml:space="preserve"> conseguimento dello scopo perseguito e non possono introdurre limitazioni eccedenti</w:t>
      </w:r>
      <w:r w:rsidR="0044618C">
        <w:rPr>
          <w:sz w:val="24"/>
        </w:rPr>
        <w:t xml:space="preserve"> </w:t>
      </w:r>
      <w:r w:rsidR="00A17FEE">
        <w:rPr>
          <w:sz w:val="24"/>
        </w:rPr>
        <w:t xml:space="preserve">rispetto </w:t>
      </w:r>
      <w:r w:rsidR="0044618C">
        <w:rPr>
          <w:sz w:val="24"/>
        </w:rPr>
        <w:t>a</w:t>
      </w:r>
      <w:r w:rsidR="0044618C" w:rsidRPr="0044618C">
        <w:rPr>
          <w:sz w:val="24"/>
        </w:rPr>
        <w:t xml:space="preserve"> quanto strettamente necessario per il raggiungimento di tale scopo</w:t>
      </w:r>
      <w:r w:rsidR="0044618C">
        <w:rPr>
          <w:sz w:val="24"/>
        </w:rPr>
        <w:t>.</w:t>
      </w:r>
      <w:r w:rsidR="006C12D9">
        <w:rPr>
          <w:sz w:val="24"/>
        </w:rPr>
        <w:t xml:space="preserve"> I commi </w:t>
      </w:r>
      <w:r w:rsidR="00065487">
        <w:rPr>
          <w:sz w:val="24"/>
        </w:rPr>
        <w:t>5</w:t>
      </w:r>
      <w:r w:rsidR="006C12D9">
        <w:rPr>
          <w:sz w:val="24"/>
        </w:rPr>
        <w:t xml:space="preserve">, </w:t>
      </w:r>
      <w:r w:rsidR="00065487">
        <w:rPr>
          <w:sz w:val="24"/>
        </w:rPr>
        <w:t>6</w:t>
      </w:r>
      <w:r w:rsidR="006C12D9">
        <w:rPr>
          <w:sz w:val="24"/>
        </w:rPr>
        <w:t xml:space="preserve">, </w:t>
      </w:r>
      <w:r w:rsidR="00065487">
        <w:rPr>
          <w:sz w:val="24"/>
        </w:rPr>
        <w:t>7</w:t>
      </w:r>
      <w:r w:rsidR="006C12D9">
        <w:rPr>
          <w:sz w:val="24"/>
        </w:rPr>
        <w:t xml:space="preserve">, </w:t>
      </w:r>
      <w:r w:rsidR="00065487">
        <w:rPr>
          <w:sz w:val="24"/>
        </w:rPr>
        <w:t>8</w:t>
      </w:r>
      <w:r w:rsidR="006C12D9">
        <w:rPr>
          <w:sz w:val="24"/>
        </w:rPr>
        <w:t xml:space="preserve"> e </w:t>
      </w:r>
      <w:r w:rsidR="00065487">
        <w:rPr>
          <w:sz w:val="24"/>
        </w:rPr>
        <w:t>9</w:t>
      </w:r>
      <w:r w:rsidR="006C12D9">
        <w:rPr>
          <w:sz w:val="24"/>
        </w:rPr>
        <w:t xml:space="preserve"> elenca</w:t>
      </w:r>
      <w:r w:rsidR="00CC4BAF">
        <w:rPr>
          <w:sz w:val="24"/>
        </w:rPr>
        <w:t>no</w:t>
      </w:r>
      <w:r w:rsidR="006C12D9">
        <w:rPr>
          <w:sz w:val="24"/>
        </w:rPr>
        <w:t xml:space="preserve"> i criteri cui i soggetti regolatori devono attenersi nella valutazione </w:t>
      </w:r>
      <w:r w:rsidR="006C12D9" w:rsidRPr="006C12D9">
        <w:rPr>
          <w:sz w:val="24"/>
        </w:rPr>
        <w:t xml:space="preserve">prima dell’adozione </w:t>
      </w:r>
      <w:r w:rsidR="00065487">
        <w:rPr>
          <w:sz w:val="24"/>
        </w:rPr>
        <w:t>delle disposizioni di cui al comma 1</w:t>
      </w:r>
      <w:r w:rsidR="00CC4BAF">
        <w:rPr>
          <w:sz w:val="24"/>
        </w:rPr>
        <w:t xml:space="preserve">, anche nel necessario coordinamento con la disciplina di cui al decreto legislativo </w:t>
      </w:r>
      <w:r w:rsidR="00CC4BAF" w:rsidRPr="00CC4BAF">
        <w:rPr>
          <w:sz w:val="24"/>
        </w:rPr>
        <w:t>9 novembre 2007, n. 206</w:t>
      </w:r>
      <w:r w:rsidR="00CC4BAF">
        <w:rPr>
          <w:sz w:val="24"/>
        </w:rPr>
        <w:t>.</w:t>
      </w:r>
      <w:r w:rsidR="00C43C8A">
        <w:rPr>
          <w:sz w:val="24"/>
        </w:rPr>
        <w:t xml:space="preserve"> Il comma </w:t>
      </w:r>
      <w:r w:rsidR="00065487">
        <w:rPr>
          <w:sz w:val="24"/>
        </w:rPr>
        <w:t>10</w:t>
      </w:r>
      <w:r w:rsidR="00C43C8A">
        <w:rPr>
          <w:sz w:val="24"/>
        </w:rPr>
        <w:t xml:space="preserve"> stabilisce che nelle ipotesi di incidenza della disciplina in esso contenuta sul</w:t>
      </w:r>
      <w:r w:rsidR="00C43C8A" w:rsidRPr="00C43C8A">
        <w:rPr>
          <w:sz w:val="24"/>
        </w:rPr>
        <w:t>la regolamentazione delle professioni sanitarie e</w:t>
      </w:r>
      <w:r w:rsidR="00C43C8A">
        <w:rPr>
          <w:sz w:val="24"/>
        </w:rPr>
        <w:t xml:space="preserve">, quindi, </w:t>
      </w:r>
      <w:r w:rsidR="00C43C8A" w:rsidRPr="00C43C8A">
        <w:rPr>
          <w:sz w:val="24"/>
        </w:rPr>
        <w:t>sulla sicurezza dei pazienti, le autorità</w:t>
      </w:r>
      <w:r w:rsidR="00BB0D8D">
        <w:rPr>
          <w:sz w:val="24"/>
        </w:rPr>
        <w:t xml:space="preserve"> competenti in materia</w:t>
      </w:r>
      <w:r w:rsidR="00C43C8A" w:rsidRPr="00C43C8A">
        <w:rPr>
          <w:sz w:val="24"/>
        </w:rPr>
        <w:t xml:space="preserve"> tengono conto dell’obiettivo di garantire un elevato livello di tutela della salute umana.</w:t>
      </w:r>
    </w:p>
    <w:p w14:paraId="2A06ACFD" w14:textId="77777777" w:rsidR="007941E3" w:rsidRDefault="007941E3" w:rsidP="00772512">
      <w:pPr>
        <w:jc w:val="both"/>
        <w:rPr>
          <w:sz w:val="24"/>
        </w:rPr>
      </w:pPr>
    </w:p>
    <w:p w14:paraId="5D27424C" w14:textId="4DD79F95" w:rsidR="007941E3" w:rsidRPr="00D659A1" w:rsidRDefault="007941E3" w:rsidP="00772512">
      <w:pPr>
        <w:jc w:val="both"/>
        <w:rPr>
          <w:b/>
          <w:bCs/>
          <w:sz w:val="24"/>
        </w:rPr>
      </w:pPr>
      <w:r>
        <w:rPr>
          <w:sz w:val="24"/>
        </w:rPr>
        <w:t>L’</w:t>
      </w:r>
      <w:r w:rsidRPr="007941E3">
        <w:rPr>
          <w:b/>
          <w:sz w:val="24"/>
        </w:rPr>
        <w:t xml:space="preserve">articolo </w:t>
      </w:r>
      <w:r w:rsidR="00CA3ECC">
        <w:rPr>
          <w:b/>
          <w:sz w:val="24"/>
        </w:rPr>
        <w:t>5</w:t>
      </w:r>
      <w:r w:rsidRPr="007941E3">
        <w:rPr>
          <w:sz w:val="24"/>
        </w:rPr>
        <w:t>, in attua</w:t>
      </w:r>
      <w:r>
        <w:rPr>
          <w:sz w:val="24"/>
        </w:rPr>
        <w:t>zione di quanto stabilito dalla direttiva, stabilisce che i</w:t>
      </w:r>
      <w:r w:rsidRPr="007941E3">
        <w:rPr>
          <w:sz w:val="24"/>
        </w:rPr>
        <w:t xml:space="preserve"> soggetti regolatori assicurano l’informazione e la partecipazione dei </w:t>
      </w:r>
      <w:r w:rsidR="00BB0D8D" w:rsidRPr="00BB0D8D">
        <w:rPr>
          <w:sz w:val="24"/>
        </w:rPr>
        <w:t xml:space="preserve">cittadini, dei destinatari di servizi e degli altri portatori di interessi </w:t>
      </w:r>
      <w:r w:rsidRPr="007941E3">
        <w:rPr>
          <w:sz w:val="24"/>
        </w:rPr>
        <w:t>mediante le modalità e gli strumenti previsti nell’ambito del procedimento di adozione delle disposizioni di cui all’articolo 1</w:t>
      </w:r>
      <w:r w:rsidR="00D659A1">
        <w:rPr>
          <w:sz w:val="24"/>
        </w:rPr>
        <w:t xml:space="preserve">, </w:t>
      </w:r>
      <w:r w:rsidR="00D659A1" w:rsidRPr="00EA1271">
        <w:rPr>
          <w:sz w:val="24"/>
        </w:rPr>
        <w:t>precisando altresì che tale partecipazione deve avvenire in una fase diversa da quella in cui si svolge la valutazione di proporzionalità delle disposizioni, al fine di garantire l’indipendenza e l’obiettività della valutazione stessa</w:t>
      </w:r>
      <w:r w:rsidRPr="00EA1271">
        <w:rPr>
          <w:sz w:val="24"/>
        </w:rPr>
        <w:t>.</w:t>
      </w:r>
    </w:p>
    <w:p w14:paraId="46273606" w14:textId="77777777" w:rsidR="00AB5F95" w:rsidRDefault="00AB5F95" w:rsidP="00AB5F95">
      <w:pPr>
        <w:jc w:val="both"/>
        <w:rPr>
          <w:sz w:val="24"/>
        </w:rPr>
      </w:pPr>
    </w:p>
    <w:p w14:paraId="3DE2C953" w14:textId="7CD6E398" w:rsidR="00A1153B" w:rsidRPr="00A1153B" w:rsidRDefault="00AB5F95" w:rsidP="00AE438C">
      <w:pPr>
        <w:jc w:val="both"/>
        <w:rPr>
          <w:rStyle w:val="provvrubrica"/>
          <w:b w:val="0"/>
          <w:color w:val="000000" w:themeColor="text1"/>
          <w:sz w:val="24"/>
        </w:rPr>
      </w:pPr>
      <w:r w:rsidRPr="00AB5F95">
        <w:rPr>
          <w:b/>
          <w:sz w:val="24"/>
        </w:rPr>
        <w:t xml:space="preserve">L’articolo </w:t>
      </w:r>
      <w:r w:rsidR="00CA3ECC">
        <w:rPr>
          <w:b/>
          <w:sz w:val="24"/>
        </w:rPr>
        <w:t>6</w:t>
      </w:r>
      <w:r>
        <w:rPr>
          <w:sz w:val="24"/>
        </w:rPr>
        <w:t>,</w:t>
      </w:r>
      <w:r w:rsidR="00F35BB0">
        <w:rPr>
          <w:sz w:val="24"/>
        </w:rPr>
        <w:t xml:space="preserve"> </w:t>
      </w:r>
      <w:r w:rsidR="007A153D">
        <w:rPr>
          <w:sz w:val="24"/>
        </w:rPr>
        <w:t xml:space="preserve">in materia di accesso alla giustizia, mira a garantire l’effettività della tutela giurisdizionale </w:t>
      </w:r>
      <w:r w:rsidR="00864871">
        <w:rPr>
          <w:rStyle w:val="provvrubrica"/>
          <w:b w:val="0"/>
          <w:color w:val="000000" w:themeColor="text1"/>
          <w:sz w:val="24"/>
        </w:rPr>
        <w:t>a</w:t>
      </w:r>
      <w:r w:rsidR="00F61C45" w:rsidRPr="005579DA">
        <w:rPr>
          <w:rStyle w:val="provvrubrica"/>
          <w:b w:val="0"/>
          <w:color w:val="000000" w:themeColor="text1"/>
          <w:sz w:val="24"/>
        </w:rPr>
        <w:t>vverso i provvedimenti amministrativi generali adottati ai sensi del presente decreto legislativo e avverso gli atti amministrativi che costituiscono attuazione concreta degli atti normativi, regolamentari e amministrativi generali adottati ai sensi del presente decreto</w:t>
      </w:r>
      <w:r w:rsidR="007A153D">
        <w:rPr>
          <w:rStyle w:val="provvrubrica"/>
          <w:b w:val="0"/>
          <w:color w:val="000000" w:themeColor="text1"/>
          <w:sz w:val="24"/>
        </w:rPr>
        <w:t xml:space="preserve">, mediante il </w:t>
      </w:r>
      <w:r w:rsidR="00F61C45" w:rsidRPr="005579DA">
        <w:rPr>
          <w:rStyle w:val="provvrubrica"/>
          <w:b w:val="0"/>
          <w:color w:val="000000" w:themeColor="text1"/>
          <w:sz w:val="24"/>
        </w:rPr>
        <w:t>ricorso dinnanzi al giudice amministrativo ai sensi del decreto legislativo 2 luglio 2010, n. 104</w:t>
      </w:r>
      <w:r w:rsidR="00A1153B">
        <w:rPr>
          <w:rStyle w:val="provvrubrica"/>
          <w:b w:val="0"/>
          <w:color w:val="000000" w:themeColor="text1"/>
          <w:sz w:val="24"/>
        </w:rPr>
        <w:t xml:space="preserve">, </w:t>
      </w:r>
      <w:r w:rsidR="00A1153B" w:rsidRPr="00A1153B">
        <w:rPr>
          <w:rStyle w:val="provvrubrica"/>
          <w:b w:val="0"/>
          <w:color w:val="000000" w:themeColor="text1"/>
          <w:sz w:val="24"/>
        </w:rPr>
        <w:t xml:space="preserve">salva la </w:t>
      </w:r>
      <w:r w:rsidR="00A1153B" w:rsidRPr="00A1153B">
        <w:rPr>
          <w:rStyle w:val="provvrubrica"/>
          <w:b w:val="0"/>
          <w:color w:val="000000" w:themeColor="text1"/>
          <w:sz w:val="24"/>
        </w:rPr>
        <w:lastRenderedPageBreak/>
        <w:t>giurisdizione del giudice ordinario nelle controversie relative a diritti non devolute alla giurisdizione esclusiva del giudice amministrativo.</w:t>
      </w:r>
    </w:p>
    <w:p w14:paraId="69506AE7" w14:textId="09EF84B2" w:rsidR="00F61C45" w:rsidRPr="005579DA" w:rsidRDefault="00864871" w:rsidP="00A1153B">
      <w:pPr>
        <w:jc w:val="both"/>
        <w:rPr>
          <w:rStyle w:val="provvrubrica"/>
          <w:b w:val="0"/>
          <w:bCs w:val="0"/>
          <w:sz w:val="24"/>
        </w:rPr>
      </w:pPr>
      <w:r>
        <w:rPr>
          <w:rStyle w:val="provvrubrica"/>
          <w:b w:val="0"/>
          <w:color w:val="000000" w:themeColor="text1"/>
          <w:sz w:val="24"/>
        </w:rPr>
        <w:t>.</w:t>
      </w:r>
      <w:r w:rsidR="00F61C45" w:rsidRPr="005579DA">
        <w:rPr>
          <w:rStyle w:val="provvrubrica"/>
          <w:b w:val="0"/>
          <w:color w:val="000000" w:themeColor="text1"/>
          <w:sz w:val="24"/>
        </w:rPr>
        <w:t xml:space="preserve"> </w:t>
      </w:r>
    </w:p>
    <w:p w14:paraId="4D22213E" w14:textId="77777777" w:rsidR="00F61C45" w:rsidRDefault="00F61C45">
      <w:pPr>
        <w:jc w:val="both"/>
        <w:rPr>
          <w:sz w:val="24"/>
        </w:rPr>
      </w:pPr>
    </w:p>
    <w:p w14:paraId="316234FF" w14:textId="51EA5B5E" w:rsidR="00AB5F95" w:rsidRPr="00AB5F95" w:rsidRDefault="00F35BB0" w:rsidP="00AB5F95">
      <w:pPr>
        <w:jc w:val="both"/>
        <w:rPr>
          <w:sz w:val="24"/>
        </w:rPr>
      </w:pPr>
      <w:r w:rsidRPr="005579DA">
        <w:rPr>
          <w:b/>
          <w:sz w:val="24"/>
        </w:rPr>
        <w:t>L’articolo 7</w:t>
      </w:r>
      <w:r w:rsidR="00BB0D8D">
        <w:rPr>
          <w:b/>
          <w:sz w:val="24"/>
        </w:rPr>
        <w:t>,</w:t>
      </w:r>
      <w:r w:rsidR="007A153D">
        <w:rPr>
          <w:sz w:val="24"/>
        </w:rPr>
        <w:t xml:space="preserve"> </w:t>
      </w:r>
      <w:r w:rsidR="00AB5F95">
        <w:rPr>
          <w:sz w:val="24"/>
        </w:rPr>
        <w:t>in materia di scambio di informazioni, affida al</w:t>
      </w:r>
      <w:r w:rsidR="00AB5F95" w:rsidRPr="00AB5F95">
        <w:rPr>
          <w:sz w:val="24"/>
        </w:rPr>
        <w:t>la Presidenza del Consiglio dei ministri- Dipartimento per le politiche europee</w:t>
      </w:r>
      <w:r w:rsidR="00AB5F95">
        <w:rPr>
          <w:sz w:val="24"/>
        </w:rPr>
        <w:t xml:space="preserve"> </w:t>
      </w:r>
      <w:r w:rsidR="00AB5F95" w:rsidRPr="00AB5F95">
        <w:rPr>
          <w:sz w:val="24"/>
        </w:rPr>
        <w:t xml:space="preserve">per il tramite delle autorità competenti e del Centro di assistenza per il riconoscimento delle qualifiche professionali di cui all’articolo 6 del </w:t>
      </w:r>
      <w:r w:rsidR="00BB0D8D">
        <w:rPr>
          <w:sz w:val="24"/>
        </w:rPr>
        <w:t>dec</w:t>
      </w:r>
      <w:r w:rsidR="00AB5F95" w:rsidRPr="00AB5F95">
        <w:rPr>
          <w:sz w:val="24"/>
        </w:rPr>
        <w:t>reto</w:t>
      </w:r>
      <w:r w:rsidR="00BB0D8D">
        <w:rPr>
          <w:sz w:val="24"/>
        </w:rPr>
        <w:t xml:space="preserve"> n. 206/2007</w:t>
      </w:r>
      <w:r w:rsidR="00AB5F95" w:rsidRPr="00AB5F95">
        <w:rPr>
          <w:sz w:val="24"/>
        </w:rPr>
        <w:t>, lo scambio di informazioni con gli altri Stati membri sulle questioni oggetto del presente decreto e, in particolare, sul</w:t>
      </w:r>
      <w:r w:rsidR="00AB5F95">
        <w:rPr>
          <w:sz w:val="24"/>
        </w:rPr>
        <w:t>le modalità</w:t>
      </w:r>
      <w:r w:rsidR="00AB5F95" w:rsidRPr="00AB5F95">
        <w:rPr>
          <w:sz w:val="24"/>
        </w:rPr>
        <w:t xml:space="preserve"> in cui una professione è regolamentata o sugli effetti della regolamentazione. </w:t>
      </w:r>
    </w:p>
    <w:p w14:paraId="1F97DC93" w14:textId="77777777" w:rsidR="00AB5F95" w:rsidRPr="00A948F5" w:rsidRDefault="00AB5F95" w:rsidP="00543021">
      <w:pPr>
        <w:jc w:val="both"/>
        <w:rPr>
          <w:sz w:val="24"/>
        </w:rPr>
      </w:pPr>
    </w:p>
    <w:p w14:paraId="1FF5C740" w14:textId="47D0B988" w:rsidR="00A948F5" w:rsidRDefault="00A948F5" w:rsidP="00A948F5">
      <w:pPr>
        <w:jc w:val="both"/>
        <w:rPr>
          <w:sz w:val="24"/>
        </w:rPr>
      </w:pPr>
      <w:r w:rsidRPr="00A948F5">
        <w:rPr>
          <w:b/>
          <w:sz w:val="24"/>
        </w:rPr>
        <w:t xml:space="preserve">L’articolo </w:t>
      </w:r>
      <w:r w:rsidR="007A153D" w:rsidRPr="00BB0D8D">
        <w:rPr>
          <w:b/>
          <w:sz w:val="24"/>
        </w:rPr>
        <w:t>8</w:t>
      </w:r>
      <w:r w:rsidR="007A153D">
        <w:rPr>
          <w:sz w:val="24"/>
        </w:rPr>
        <w:t xml:space="preserve"> </w:t>
      </w:r>
      <w:r>
        <w:rPr>
          <w:sz w:val="24"/>
        </w:rPr>
        <w:t xml:space="preserve">mira ad assicurare la trasparenza, disciplinando l’obbligo di comunicazione alla Commissione europea dei </w:t>
      </w:r>
      <w:r w:rsidRPr="00A948F5">
        <w:rPr>
          <w:sz w:val="24"/>
        </w:rPr>
        <w:t>motivi in base ai quali le disposizioni</w:t>
      </w:r>
      <w:r>
        <w:rPr>
          <w:sz w:val="24"/>
        </w:rPr>
        <w:t xml:space="preserve"> </w:t>
      </w:r>
      <w:r w:rsidRPr="00A948F5">
        <w:rPr>
          <w:sz w:val="24"/>
        </w:rPr>
        <w:t>sono considerate giustificate e proporzionate, mediante registrazione nella banca dati delle professioni regolamentate</w:t>
      </w:r>
      <w:r w:rsidR="001A776A">
        <w:rPr>
          <w:sz w:val="24"/>
        </w:rPr>
        <w:t xml:space="preserve"> della Commissione europea</w:t>
      </w:r>
      <w:r>
        <w:rPr>
          <w:sz w:val="24"/>
        </w:rPr>
        <w:t>. In base al secondo comma dell’articolo, s</w:t>
      </w:r>
      <w:r w:rsidRPr="00A948F5">
        <w:rPr>
          <w:sz w:val="24"/>
        </w:rPr>
        <w:t>ulle informazioni comunicate alla Commissione, anche da parte di altri Stati membri, e da questa rese disponibili al pubblico, le parti interessate possono presentare osservazioni alla Commissione o alla Presidenza del Consiglio dei ministri</w:t>
      </w:r>
      <w:r>
        <w:rPr>
          <w:sz w:val="24"/>
        </w:rPr>
        <w:t xml:space="preserve"> </w:t>
      </w:r>
      <w:r w:rsidRPr="00A948F5">
        <w:rPr>
          <w:sz w:val="24"/>
        </w:rPr>
        <w:t>- Dipartimento per le politiche europee.</w:t>
      </w:r>
    </w:p>
    <w:p w14:paraId="32E99F8B" w14:textId="77777777" w:rsidR="003026C5" w:rsidRDefault="003026C5" w:rsidP="00A948F5">
      <w:pPr>
        <w:jc w:val="both"/>
        <w:rPr>
          <w:sz w:val="24"/>
        </w:rPr>
      </w:pPr>
    </w:p>
    <w:p w14:paraId="479A614D" w14:textId="79F15715" w:rsidR="003026C5" w:rsidRDefault="003026C5" w:rsidP="00A948F5">
      <w:pPr>
        <w:jc w:val="both"/>
        <w:rPr>
          <w:sz w:val="24"/>
        </w:rPr>
      </w:pPr>
      <w:r>
        <w:rPr>
          <w:sz w:val="24"/>
        </w:rPr>
        <w:t>L’</w:t>
      </w:r>
      <w:r w:rsidRPr="005579DA">
        <w:rPr>
          <w:b/>
          <w:sz w:val="24"/>
        </w:rPr>
        <w:t>art</w:t>
      </w:r>
      <w:r w:rsidR="00FB3596">
        <w:rPr>
          <w:b/>
          <w:sz w:val="24"/>
        </w:rPr>
        <w:t>icolo</w:t>
      </w:r>
      <w:r w:rsidRPr="005579DA">
        <w:rPr>
          <w:b/>
          <w:sz w:val="24"/>
        </w:rPr>
        <w:t xml:space="preserve"> 9 </w:t>
      </w:r>
      <w:r>
        <w:rPr>
          <w:sz w:val="24"/>
        </w:rPr>
        <w:t xml:space="preserve">contiene la clausola di invarianza finanziaria, in base alla quale </w:t>
      </w:r>
      <w:r w:rsidR="00C45959">
        <w:rPr>
          <w:sz w:val="24"/>
        </w:rPr>
        <w:t xml:space="preserve">dal provvedimento </w:t>
      </w:r>
      <w:r w:rsidRPr="003026C5">
        <w:rPr>
          <w:sz w:val="24"/>
        </w:rPr>
        <w:t xml:space="preserve">non </w:t>
      </w:r>
      <w:r w:rsidR="00C17A62">
        <w:rPr>
          <w:sz w:val="24"/>
        </w:rPr>
        <w:t xml:space="preserve">devono </w:t>
      </w:r>
      <w:r w:rsidRPr="003026C5">
        <w:rPr>
          <w:sz w:val="24"/>
        </w:rPr>
        <w:t>deriva</w:t>
      </w:r>
      <w:r w:rsidR="00C17A62">
        <w:rPr>
          <w:sz w:val="24"/>
        </w:rPr>
        <w:t>re</w:t>
      </w:r>
      <w:r w:rsidRPr="003026C5">
        <w:rPr>
          <w:sz w:val="24"/>
        </w:rPr>
        <w:t xml:space="preserve"> nuovi o maggiori oneri a carico della finanza pubblica. Le Amministrazioni competenti provvedono ai compiti derivanti dal presente decreto con le risorse umane, strumentali e finanziarie disponibili a legislazione vigente.</w:t>
      </w:r>
    </w:p>
    <w:p w14:paraId="08939D98" w14:textId="77777777" w:rsidR="00EA1271" w:rsidRPr="00A948F5" w:rsidRDefault="00EA1271" w:rsidP="00A948F5">
      <w:pPr>
        <w:jc w:val="both"/>
        <w:rPr>
          <w:sz w:val="24"/>
        </w:rPr>
      </w:pPr>
    </w:p>
    <w:p w14:paraId="221182CC" w14:textId="5C6F8960" w:rsidR="00687382" w:rsidRPr="00CD2716" w:rsidRDefault="000C7EB3" w:rsidP="00543021">
      <w:pPr>
        <w:jc w:val="both"/>
        <w:rPr>
          <w:bCs/>
          <w:sz w:val="24"/>
        </w:rPr>
      </w:pPr>
      <w:r>
        <w:rPr>
          <w:b/>
          <w:sz w:val="24"/>
        </w:rPr>
        <w:t>L’All</w:t>
      </w:r>
      <w:r w:rsidR="00687382">
        <w:rPr>
          <w:b/>
          <w:sz w:val="24"/>
        </w:rPr>
        <w:t>e</w:t>
      </w:r>
      <w:r>
        <w:rPr>
          <w:b/>
          <w:sz w:val="24"/>
        </w:rPr>
        <w:t xml:space="preserve">gato I </w:t>
      </w:r>
      <w:r w:rsidRPr="00CD2716">
        <w:rPr>
          <w:sz w:val="24"/>
        </w:rPr>
        <w:t>contiene la tabella</w:t>
      </w:r>
      <w:r w:rsidR="00687382" w:rsidRPr="00CD2716">
        <w:rPr>
          <w:sz w:val="24"/>
        </w:rPr>
        <w:t xml:space="preserve">, predisposta sulla base dell’articolo </w:t>
      </w:r>
      <w:r w:rsidR="002E352F" w:rsidRPr="00CD2716">
        <w:rPr>
          <w:sz w:val="24"/>
        </w:rPr>
        <w:t>3</w:t>
      </w:r>
      <w:r w:rsidR="00687382" w:rsidRPr="00CD2716">
        <w:rPr>
          <w:sz w:val="24"/>
        </w:rPr>
        <w:t xml:space="preserve"> del decreto,</w:t>
      </w:r>
      <w:r w:rsidRPr="00CD2716">
        <w:rPr>
          <w:sz w:val="24"/>
        </w:rPr>
        <w:t xml:space="preserve"> che i soggetti rego</w:t>
      </w:r>
      <w:r w:rsidR="00687382" w:rsidRPr="00CD2716">
        <w:rPr>
          <w:sz w:val="24"/>
        </w:rPr>
        <w:t>la</w:t>
      </w:r>
      <w:r w:rsidRPr="00CD2716">
        <w:rPr>
          <w:sz w:val="24"/>
        </w:rPr>
        <w:t>tori devono compilare quando ef</w:t>
      </w:r>
      <w:r w:rsidR="00687382" w:rsidRPr="00CD2716">
        <w:rPr>
          <w:sz w:val="24"/>
        </w:rPr>
        <w:t>fettuan</w:t>
      </w:r>
      <w:r w:rsidRPr="00CD2716">
        <w:rPr>
          <w:sz w:val="24"/>
        </w:rPr>
        <w:t>o la v</w:t>
      </w:r>
      <w:r w:rsidR="00687382" w:rsidRPr="00CD2716">
        <w:rPr>
          <w:sz w:val="24"/>
        </w:rPr>
        <w:t>alutazione</w:t>
      </w:r>
      <w:r w:rsidRPr="00CD2716">
        <w:rPr>
          <w:sz w:val="24"/>
        </w:rPr>
        <w:t xml:space="preserve"> della prop</w:t>
      </w:r>
      <w:r w:rsidR="00687382" w:rsidRPr="00CD2716">
        <w:rPr>
          <w:sz w:val="24"/>
        </w:rPr>
        <w:t>orzionalità</w:t>
      </w:r>
      <w:r w:rsidRPr="00CD2716">
        <w:rPr>
          <w:sz w:val="24"/>
        </w:rPr>
        <w:t xml:space="preserve"> delle di</w:t>
      </w:r>
      <w:r w:rsidR="00687382" w:rsidRPr="00CD2716">
        <w:rPr>
          <w:sz w:val="24"/>
        </w:rPr>
        <w:t>sposizioni</w:t>
      </w:r>
      <w:r w:rsidRPr="00CD2716">
        <w:rPr>
          <w:sz w:val="24"/>
        </w:rPr>
        <w:t xml:space="preserve"> che intendono adottare</w:t>
      </w:r>
      <w:r w:rsidR="00687382" w:rsidRPr="00CD2716">
        <w:rPr>
          <w:sz w:val="24"/>
        </w:rPr>
        <w:t>. La tabella</w:t>
      </w:r>
      <w:r w:rsidRPr="00CD2716">
        <w:rPr>
          <w:sz w:val="24"/>
        </w:rPr>
        <w:t>, debitamente compi</w:t>
      </w:r>
      <w:r w:rsidR="00687382" w:rsidRPr="00CD2716">
        <w:rPr>
          <w:sz w:val="24"/>
        </w:rPr>
        <w:t>la</w:t>
      </w:r>
      <w:r w:rsidRPr="00CD2716">
        <w:rPr>
          <w:sz w:val="24"/>
        </w:rPr>
        <w:t xml:space="preserve">ta, </w:t>
      </w:r>
      <w:r w:rsidR="00687382" w:rsidRPr="00CD2716">
        <w:rPr>
          <w:sz w:val="24"/>
        </w:rPr>
        <w:t>deve essere presentata, unitamente alle altre relazioni già obbligatoriamente previste, a corredo dell’atto normativo</w:t>
      </w:r>
      <w:r w:rsidR="00C947EA" w:rsidRPr="00CD2716">
        <w:rPr>
          <w:sz w:val="24"/>
        </w:rPr>
        <w:t xml:space="preserve"> o </w:t>
      </w:r>
      <w:r w:rsidR="001A776A" w:rsidRPr="00CD2716">
        <w:rPr>
          <w:sz w:val="24"/>
        </w:rPr>
        <w:t>amministrativo generale</w:t>
      </w:r>
      <w:r w:rsidR="00687382" w:rsidRPr="00CD2716">
        <w:rPr>
          <w:sz w:val="24"/>
        </w:rPr>
        <w:t xml:space="preserve"> da emanare</w:t>
      </w:r>
      <w:r w:rsidR="00EA1271" w:rsidRPr="00CD2716">
        <w:rPr>
          <w:sz w:val="24"/>
        </w:rPr>
        <w:t>.</w:t>
      </w:r>
    </w:p>
    <w:p w14:paraId="14D396E4" w14:textId="77777777" w:rsidR="00687382" w:rsidRDefault="00687382" w:rsidP="00543021">
      <w:pPr>
        <w:jc w:val="both"/>
        <w:rPr>
          <w:b/>
          <w:bCs/>
          <w:sz w:val="24"/>
        </w:rPr>
      </w:pPr>
    </w:p>
    <w:sectPr w:rsidR="00687382" w:rsidSect="00441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B2B63" w14:textId="77777777" w:rsidR="005706A3" w:rsidRDefault="005706A3" w:rsidP="007156CB">
      <w:r>
        <w:separator/>
      </w:r>
    </w:p>
  </w:endnote>
  <w:endnote w:type="continuationSeparator" w:id="0">
    <w:p w14:paraId="4B24AA42" w14:textId="77777777" w:rsidR="005706A3" w:rsidRDefault="005706A3" w:rsidP="0071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F2A83" w14:textId="77777777" w:rsidR="007156CB" w:rsidRDefault="007156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770A" w14:textId="77777777" w:rsidR="007156CB" w:rsidRDefault="007156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9B42D" w14:textId="77777777" w:rsidR="007156CB" w:rsidRDefault="007156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2F06D" w14:textId="77777777" w:rsidR="005706A3" w:rsidRDefault="005706A3" w:rsidP="007156CB">
      <w:r>
        <w:separator/>
      </w:r>
    </w:p>
  </w:footnote>
  <w:footnote w:type="continuationSeparator" w:id="0">
    <w:p w14:paraId="1FFF501D" w14:textId="77777777" w:rsidR="005706A3" w:rsidRDefault="005706A3" w:rsidP="0071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5BAD" w14:textId="77777777" w:rsidR="007156CB" w:rsidRDefault="007156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23CA1" w14:textId="77777777" w:rsidR="007156CB" w:rsidRDefault="007156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AD9C6" w14:textId="77777777" w:rsidR="007156CB" w:rsidRDefault="007156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A5"/>
    <w:rsid w:val="000102BB"/>
    <w:rsid w:val="0003255D"/>
    <w:rsid w:val="00064782"/>
    <w:rsid w:val="000650C3"/>
    <w:rsid w:val="00065487"/>
    <w:rsid w:val="00086CB9"/>
    <w:rsid w:val="00090CF5"/>
    <w:rsid w:val="000A1720"/>
    <w:rsid w:val="000C2732"/>
    <w:rsid w:val="000C7EB3"/>
    <w:rsid w:val="00103C20"/>
    <w:rsid w:val="00104AE5"/>
    <w:rsid w:val="00130027"/>
    <w:rsid w:val="00134819"/>
    <w:rsid w:val="00190A3C"/>
    <w:rsid w:val="001A776A"/>
    <w:rsid w:val="001C5491"/>
    <w:rsid w:val="001D60DC"/>
    <w:rsid w:val="002046DE"/>
    <w:rsid w:val="00227B58"/>
    <w:rsid w:val="0024549C"/>
    <w:rsid w:val="00266E9F"/>
    <w:rsid w:val="00271E62"/>
    <w:rsid w:val="0029121B"/>
    <w:rsid w:val="002932CE"/>
    <w:rsid w:val="00295ABD"/>
    <w:rsid w:val="002A5AD6"/>
    <w:rsid w:val="002B587A"/>
    <w:rsid w:val="002E0830"/>
    <w:rsid w:val="002E352F"/>
    <w:rsid w:val="003026C5"/>
    <w:rsid w:val="003529C6"/>
    <w:rsid w:val="00352E0F"/>
    <w:rsid w:val="00370BCC"/>
    <w:rsid w:val="00387F07"/>
    <w:rsid w:val="003B48CB"/>
    <w:rsid w:val="003B5EE4"/>
    <w:rsid w:val="003D3479"/>
    <w:rsid w:val="003E623B"/>
    <w:rsid w:val="003F5D30"/>
    <w:rsid w:val="00441E60"/>
    <w:rsid w:val="0044618C"/>
    <w:rsid w:val="00485A0E"/>
    <w:rsid w:val="004B0B7D"/>
    <w:rsid w:val="004C20CA"/>
    <w:rsid w:val="004D1CF9"/>
    <w:rsid w:val="004D7710"/>
    <w:rsid w:val="004E052D"/>
    <w:rsid w:val="00505B31"/>
    <w:rsid w:val="0053082B"/>
    <w:rsid w:val="00543021"/>
    <w:rsid w:val="005579DA"/>
    <w:rsid w:val="005706A3"/>
    <w:rsid w:val="00596C54"/>
    <w:rsid w:val="005A1AA3"/>
    <w:rsid w:val="005A798E"/>
    <w:rsid w:val="005B78B3"/>
    <w:rsid w:val="005E1602"/>
    <w:rsid w:val="00601040"/>
    <w:rsid w:val="006219BA"/>
    <w:rsid w:val="006229A7"/>
    <w:rsid w:val="006522F8"/>
    <w:rsid w:val="00683FC4"/>
    <w:rsid w:val="00686C14"/>
    <w:rsid w:val="00687382"/>
    <w:rsid w:val="006B0C1D"/>
    <w:rsid w:val="006C12D9"/>
    <w:rsid w:val="006D1151"/>
    <w:rsid w:val="006D3C5F"/>
    <w:rsid w:val="007156CB"/>
    <w:rsid w:val="00730883"/>
    <w:rsid w:val="00744A8B"/>
    <w:rsid w:val="00753BB5"/>
    <w:rsid w:val="00772512"/>
    <w:rsid w:val="00776F39"/>
    <w:rsid w:val="0078716F"/>
    <w:rsid w:val="007922BF"/>
    <w:rsid w:val="007941E3"/>
    <w:rsid w:val="007A153D"/>
    <w:rsid w:val="007A72C1"/>
    <w:rsid w:val="007B7B38"/>
    <w:rsid w:val="007F398B"/>
    <w:rsid w:val="0080051E"/>
    <w:rsid w:val="008230ED"/>
    <w:rsid w:val="008243E0"/>
    <w:rsid w:val="00843107"/>
    <w:rsid w:val="00864871"/>
    <w:rsid w:val="008D717D"/>
    <w:rsid w:val="008D7C76"/>
    <w:rsid w:val="00943E48"/>
    <w:rsid w:val="00952D6C"/>
    <w:rsid w:val="00970370"/>
    <w:rsid w:val="0099751F"/>
    <w:rsid w:val="00A1153B"/>
    <w:rsid w:val="00A12C07"/>
    <w:rsid w:val="00A16CEE"/>
    <w:rsid w:val="00A17FEE"/>
    <w:rsid w:val="00A2020D"/>
    <w:rsid w:val="00A33037"/>
    <w:rsid w:val="00A47AF1"/>
    <w:rsid w:val="00A646CF"/>
    <w:rsid w:val="00A77A9D"/>
    <w:rsid w:val="00A948F5"/>
    <w:rsid w:val="00AA7A78"/>
    <w:rsid w:val="00AB4572"/>
    <w:rsid w:val="00AB5F95"/>
    <w:rsid w:val="00AC78C3"/>
    <w:rsid w:val="00AD37FB"/>
    <w:rsid w:val="00AE20B3"/>
    <w:rsid w:val="00AE438C"/>
    <w:rsid w:val="00AE4EA5"/>
    <w:rsid w:val="00AE68DC"/>
    <w:rsid w:val="00AF2172"/>
    <w:rsid w:val="00AF5D1D"/>
    <w:rsid w:val="00B0071A"/>
    <w:rsid w:val="00B0432E"/>
    <w:rsid w:val="00B055CB"/>
    <w:rsid w:val="00B11AF5"/>
    <w:rsid w:val="00B767F4"/>
    <w:rsid w:val="00B777B3"/>
    <w:rsid w:val="00B80E76"/>
    <w:rsid w:val="00BB0D8D"/>
    <w:rsid w:val="00BE7138"/>
    <w:rsid w:val="00BF262B"/>
    <w:rsid w:val="00BF54E4"/>
    <w:rsid w:val="00BF7DE3"/>
    <w:rsid w:val="00C02F05"/>
    <w:rsid w:val="00C05A88"/>
    <w:rsid w:val="00C17A62"/>
    <w:rsid w:val="00C24C2B"/>
    <w:rsid w:val="00C31B53"/>
    <w:rsid w:val="00C33F86"/>
    <w:rsid w:val="00C34CD2"/>
    <w:rsid w:val="00C43C8A"/>
    <w:rsid w:val="00C45959"/>
    <w:rsid w:val="00C81367"/>
    <w:rsid w:val="00C947EA"/>
    <w:rsid w:val="00CA2EAF"/>
    <w:rsid w:val="00CA3ECC"/>
    <w:rsid w:val="00CB3E75"/>
    <w:rsid w:val="00CC4BAF"/>
    <w:rsid w:val="00CC54A8"/>
    <w:rsid w:val="00CD2716"/>
    <w:rsid w:val="00CD55A7"/>
    <w:rsid w:val="00CE7F15"/>
    <w:rsid w:val="00D1579D"/>
    <w:rsid w:val="00D16689"/>
    <w:rsid w:val="00D4521C"/>
    <w:rsid w:val="00D53341"/>
    <w:rsid w:val="00D659A1"/>
    <w:rsid w:val="00D84433"/>
    <w:rsid w:val="00DA4C7D"/>
    <w:rsid w:val="00DB4F2B"/>
    <w:rsid w:val="00DD7C02"/>
    <w:rsid w:val="00E3444A"/>
    <w:rsid w:val="00E806AE"/>
    <w:rsid w:val="00E838E2"/>
    <w:rsid w:val="00EA1271"/>
    <w:rsid w:val="00EB2450"/>
    <w:rsid w:val="00ED381E"/>
    <w:rsid w:val="00EE2B76"/>
    <w:rsid w:val="00EF2215"/>
    <w:rsid w:val="00F21318"/>
    <w:rsid w:val="00F35BB0"/>
    <w:rsid w:val="00F4347A"/>
    <w:rsid w:val="00F55CC1"/>
    <w:rsid w:val="00F61C45"/>
    <w:rsid w:val="00F6308A"/>
    <w:rsid w:val="00F657D5"/>
    <w:rsid w:val="00F665DB"/>
    <w:rsid w:val="00F77C35"/>
    <w:rsid w:val="00F876BF"/>
    <w:rsid w:val="00FA026D"/>
    <w:rsid w:val="00FB3596"/>
    <w:rsid w:val="00FC1F2D"/>
    <w:rsid w:val="00FC3439"/>
    <w:rsid w:val="00FD6234"/>
    <w:rsid w:val="00FE2724"/>
    <w:rsid w:val="00FF5EA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CE472"/>
  <w15:docId w15:val="{00E36101-005A-0144-B5A8-20954EF6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Corpo CS)"/>
        <w:sz w:val="18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4EA5"/>
    <w:pPr>
      <w:autoSpaceDE w:val="0"/>
      <w:autoSpaceDN w:val="0"/>
      <w:adjustRightInd w:val="0"/>
    </w:pPr>
    <w:rPr>
      <w:rFonts w:eastAsia="Calibri" w:cs="Times New Roman"/>
      <w:bCs/>
      <w:color w:val="000000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8B3"/>
    <w:rPr>
      <w:rFonts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8B3"/>
    <w:rPr>
      <w:rFonts w:cs="Times New Roman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873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73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73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7382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7382"/>
    <w:rPr>
      <w:b/>
      <w:sz w:val="20"/>
      <w:szCs w:val="20"/>
    </w:rPr>
  </w:style>
  <w:style w:type="paragraph" w:customStyle="1" w:styleId="provvr0">
    <w:name w:val="provv_r0"/>
    <w:basedOn w:val="Normale"/>
    <w:rsid w:val="00BE7138"/>
    <w:pPr>
      <w:spacing w:before="100" w:beforeAutospacing="1" w:after="20"/>
      <w:jc w:val="both"/>
    </w:pPr>
    <w:rPr>
      <w:rFonts w:eastAsia="Times New Roman" w:cs="Times New Roman"/>
      <w:bCs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5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6CB"/>
  </w:style>
  <w:style w:type="paragraph" w:styleId="Pidipagina">
    <w:name w:val="footer"/>
    <w:basedOn w:val="Normale"/>
    <w:link w:val="PidipaginaCarattere"/>
    <w:uiPriority w:val="99"/>
    <w:unhideWhenUsed/>
    <w:rsid w:val="00715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6CB"/>
  </w:style>
  <w:style w:type="paragraph" w:styleId="NormaleWeb">
    <w:name w:val="Normal (Web)"/>
    <w:basedOn w:val="Normale"/>
    <w:uiPriority w:val="99"/>
    <w:unhideWhenUsed/>
    <w:rsid w:val="00F61C45"/>
    <w:pPr>
      <w:spacing w:before="100" w:beforeAutospacing="1" w:after="20"/>
    </w:pPr>
    <w:rPr>
      <w:rFonts w:eastAsia="Times New Roman" w:cs="Times New Roman"/>
      <w:bCs/>
      <w:sz w:val="24"/>
      <w:lang w:eastAsia="it-IT"/>
    </w:rPr>
  </w:style>
  <w:style w:type="character" w:customStyle="1" w:styleId="provvrubrica">
    <w:name w:val="provv_rubrica"/>
    <w:basedOn w:val="Carpredefinitoparagrafo"/>
    <w:rsid w:val="00F61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0BAB4F029614BB1D12B3384F05B8A" ma:contentTypeVersion="2" ma:contentTypeDescription="Creare un nuovo documento." ma:contentTypeScope="" ma:versionID="1b45e1c3034bc67932677258eec53b92">
  <xsd:schema xmlns:xsd="http://www.w3.org/2001/XMLSchema" xmlns:xs="http://www.w3.org/2001/XMLSchema" xmlns:p="http://schemas.microsoft.com/office/2006/metadata/properties" xmlns:ns2="f61ecbd3-7f6f-49ca-901d-40a319b3df64" targetNamespace="http://schemas.microsoft.com/office/2006/metadata/properties" ma:root="true" ma:fieldsID="8fc5a2c30f7b2a04fb61f9aa08c9f0a9" ns2:_="">
    <xsd:import namespace="f61ecbd3-7f6f-49ca-901d-40a319b3d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ecbd3-7f6f-49ca-901d-40a319b3d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F0CFB-C962-4297-A581-C023D6B69AAF}"/>
</file>

<file path=customXml/itemProps2.xml><?xml version="1.0" encoding="utf-8"?>
<ds:datastoreItem xmlns:ds="http://schemas.openxmlformats.org/officeDocument/2006/customXml" ds:itemID="{2319AEC0-2DAF-4E58-A440-8A201D8470AE}"/>
</file>

<file path=customXml/itemProps3.xml><?xml version="1.0" encoding="utf-8"?>
<ds:datastoreItem xmlns:ds="http://schemas.openxmlformats.org/officeDocument/2006/customXml" ds:itemID="{AA912ADB-0DAF-41F4-B8C8-A74A1DB37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Bombardi Simonetta</cp:lastModifiedBy>
  <cp:revision>14</cp:revision>
  <dcterms:created xsi:type="dcterms:W3CDTF">2020-07-21T08:46:00Z</dcterms:created>
  <dcterms:modified xsi:type="dcterms:W3CDTF">2020-07-22T10:47:00Z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0x010100C1E0BAB4F029614BB1D12B3384F05B8A</vt:lpwstr>
  </property>
</Properties>
</file>