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7BF9" w14:textId="77777777" w:rsidR="00376913" w:rsidRDefault="00376913" w:rsidP="00376913">
      <w:pPr>
        <w:spacing w:after="60" w:line="276" w:lineRule="auto"/>
        <w:jc w:val="center"/>
        <w:rPr>
          <w:rFonts w:ascii="Arial" w:eastAsia="Calibri" w:hAnsi="Arial" w:cs="Arial"/>
          <w:b/>
          <w:kern w:val="0"/>
          <w:szCs w:val="24"/>
          <w:lang w:eastAsia="en-US"/>
        </w:rPr>
      </w:pPr>
      <w:r>
        <w:rPr>
          <w:rFonts w:ascii="Arial" w:eastAsia="Calibri" w:hAnsi="Arial" w:cs="Arial"/>
          <w:b/>
          <w:kern w:val="0"/>
          <w:szCs w:val="24"/>
          <w:lang w:eastAsia="en-US"/>
        </w:rPr>
        <w:t>Ieri, Oggi, Domani, Analisi su “</w:t>
      </w:r>
      <w:r w:rsidRPr="00376913">
        <w:rPr>
          <w:rFonts w:ascii="Arial" w:eastAsia="Calibri" w:hAnsi="Arial" w:cs="Arial"/>
          <w:b/>
          <w:kern w:val="0"/>
          <w:szCs w:val="24"/>
          <w:lang w:eastAsia="en-US"/>
        </w:rPr>
        <w:t>M</w:t>
      </w:r>
      <w:r>
        <w:rPr>
          <w:rFonts w:ascii="Arial" w:eastAsia="Calibri" w:hAnsi="Arial" w:cs="Arial"/>
          <w:b/>
          <w:kern w:val="0"/>
          <w:szCs w:val="24"/>
          <w:lang w:eastAsia="en-US"/>
        </w:rPr>
        <w:t>acro scenario Investimento 2023”</w:t>
      </w:r>
    </w:p>
    <w:p w14:paraId="57BB2637" w14:textId="77777777" w:rsidR="00376913" w:rsidRDefault="00376913" w:rsidP="00376913">
      <w:pPr>
        <w:spacing w:after="60" w:line="276" w:lineRule="auto"/>
        <w:jc w:val="center"/>
        <w:rPr>
          <w:rFonts w:ascii="Arial" w:eastAsia="Calibri" w:hAnsi="Arial" w:cs="Arial"/>
          <w:b/>
          <w:kern w:val="0"/>
          <w:szCs w:val="24"/>
          <w:lang w:eastAsia="en-US"/>
        </w:rPr>
      </w:pPr>
    </w:p>
    <w:p w14:paraId="2F2A29CC" w14:textId="3A07C91D" w:rsidR="00376913" w:rsidRPr="00376913" w:rsidRDefault="00376913" w:rsidP="00376913">
      <w:pPr>
        <w:spacing w:after="60" w:line="276" w:lineRule="auto"/>
        <w:rPr>
          <w:rFonts w:ascii="Arial" w:eastAsia="Calibri" w:hAnsi="Arial" w:cs="Arial"/>
          <w:bCs/>
          <w:szCs w:val="24"/>
        </w:rPr>
      </w:pPr>
      <w:r w:rsidRPr="00376913">
        <w:rPr>
          <w:rFonts w:ascii="Arial" w:eastAsia="Calibri" w:hAnsi="Arial" w:cs="Arial"/>
          <w:bCs/>
          <w:szCs w:val="24"/>
        </w:rPr>
        <w:t>La fase post-pandemica (</w:t>
      </w:r>
      <w:r w:rsidRPr="00376913">
        <w:rPr>
          <w:rFonts w:ascii="Arial" w:eastAsia="Calibri" w:hAnsi="Arial" w:cs="Arial"/>
          <w:bCs/>
          <w:i/>
          <w:iCs/>
          <w:szCs w:val="24"/>
        </w:rPr>
        <w:t xml:space="preserve">caratterizzata da un </w:t>
      </w:r>
      <w:proofErr w:type="spellStart"/>
      <w:r w:rsidRPr="00376913">
        <w:rPr>
          <w:rFonts w:ascii="Arial" w:eastAsia="Calibri" w:hAnsi="Arial" w:cs="Arial"/>
          <w:bCs/>
          <w:i/>
          <w:iCs/>
          <w:szCs w:val="24"/>
        </w:rPr>
        <w:t>peak</w:t>
      </w:r>
      <w:proofErr w:type="spellEnd"/>
      <w:r w:rsidRPr="00376913">
        <w:rPr>
          <w:rFonts w:ascii="Arial" w:eastAsia="Calibri" w:hAnsi="Arial" w:cs="Arial"/>
          <w:bCs/>
          <w:i/>
          <w:iCs/>
          <w:szCs w:val="24"/>
        </w:rPr>
        <w:t xml:space="preserve"> degli interventi monetari e fiscali centrali a sostegno delle economie e dei cittadini</w:t>
      </w:r>
      <w:r w:rsidRPr="00376913">
        <w:rPr>
          <w:rFonts w:ascii="Arial" w:eastAsia="Calibri" w:hAnsi="Arial" w:cs="Arial"/>
          <w:bCs/>
          <w:szCs w:val="24"/>
        </w:rPr>
        <w:t xml:space="preserve">) è stata caratterizzata da una forte ripresa del ciclo economico: la ripresa ha riattivato come normale il processo inflazionistico (crescita della domanda = crescita della produzione = aumento prezzi materie prime = aumento tassi per mantenere equilibrio). </w:t>
      </w:r>
    </w:p>
    <w:p w14:paraId="7F9251B2" w14:textId="77777777" w:rsidR="00376913" w:rsidRPr="00376913" w:rsidRDefault="00376913" w:rsidP="00376913">
      <w:pPr>
        <w:pStyle w:val="Paragrafoelenco"/>
        <w:numPr>
          <w:ilvl w:val="0"/>
          <w:numId w:val="1"/>
        </w:numPr>
        <w:spacing w:after="60"/>
        <w:jc w:val="both"/>
        <w:rPr>
          <w:rFonts w:ascii="Arial" w:eastAsia="Calibri" w:hAnsi="Arial" w:cs="Arial"/>
          <w:bCs/>
          <w:sz w:val="24"/>
          <w:szCs w:val="24"/>
        </w:rPr>
      </w:pPr>
      <w:r w:rsidRPr="00376913">
        <w:rPr>
          <w:rFonts w:ascii="Arial" w:eastAsia="Calibri" w:hAnsi="Arial" w:cs="Arial"/>
          <w:bCs/>
          <w:sz w:val="24"/>
          <w:szCs w:val="24"/>
        </w:rPr>
        <w:t xml:space="preserve">La pandemia era servita a ‘sbloccare’ una situazione di stagnazione economica che durava post Grande Crisi Finanziaria, compattando le politiche governative sul creare meccanismi fiscali/spesa nazionali per supportare programmi di riforma strutturale di settori nevralgici in grado di mettere in sicurezza il ‘benessere sociale’: transizione ecologica, sostenibilità, </w:t>
      </w:r>
      <w:r w:rsidRPr="00376913">
        <w:rPr>
          <w:rFonts w:ascii="Arial" w:eastAsia="Calibri" w:hAnsi="Arial" w:cs="Arial"/>
          <w:bCs/>
          <w:i/>
          <w:iCs/>
          <w:sz w:val="24"/>
          <w:szCs w:val="24"/>
        </w:rPr>
        <w:t>one health</w:t>
      </w:r>
      <w:r w:rsidRPr="00376913">
        <w:rPr>
          <w:rFonts w:ascii="Arial" w:eastAsia="Calibri" w:hAnsi="Arial" w:cs="Arial"/>
          <w:bCs/>
          <w:sz w:val="24"/>
          <w:szCs w:val="24"/>
        </w:rPr>
        <w:t xml:space="preserve">: riforme a valenza sociale (dall’educazione, alla sanità, all’accesso al digitale), di contrasto al </w:t>
      </w:r>
      <w:proofErr w:type="spellStart"/>
      <w:r w:rsidRPr="00376913">
        <w:rPr>
          <w:rFonts w:ascii="Arial" w:eastAsia="Calibri" w:hAnsi="Arial" w:cs="Arial"/>
          <w:bCs/>
          <w:i/>
          <w:iCs/>
          <w:sz w:val="24"/>
          <w:szCs w:val="24"/>
        </w:rPr>
        <w:t>climate</w:t>
      </w:r>
      <w:proofErr w:type="spellEnd"/>
      <w:r w:rsidRPr="00376913">
        <w:rPr>
          <w:rFonts w:ascii="Arial" w:eastAsia="Calibri" w:hAnsi="Arial" w:cs="Arial"/>
          <w:bCs/>
          <w:i/>
          <w:iCs/>
          <w:sz w:val="24"/>
          <w:szCs w:val="24"/>
        </w:rPr>
        <w:t xml:space="preserve"> </w:t>
      </w:r>
      <w:proofErr w:type="spellStart"/>
      <w:r w:rsidRPr="00376913">
        <w:rPr>
          <w:rFonts w:ascii="Arial" w:eastAsia="Calibri" w:hAnsi="Arial" w:cs="Arial"/>
          <w:bCs/>
          <w:i/>
          <w:iCs/>
          <w:sz w:val="24"/>
          <w:szCs w:val="24"/>
        </w:rPr>
        <w:t>change</w:t>
      </w:r>
      <w:proofErr w:type="spellEnd"/>
      <w:r w:rsidRPr="00376913">
        <w:rPr>
          <w:rFonts w:ascii="Arial" w:eastAsia="Calibri" w:hAnsi="Arial" w:cs="Arial"/>
          <w:bCs/>
          <w:sz w:val="24"/>
          <w:szCs w:val="24"/>
        </w:rPr>
        <w:t xml:space="preserve"> (transizione e sicurezza energetica, decarbonizzazione). Tutto mirato a favorire crescita economica e benessere, che avrebbe consentito anche in futuro di rendere sostenibile (</w:t>
      </w:r>
      <w:r w:rsidRPr="00376913">
        <w:rPr>
          <w:rFonts w:ascii="Arial" w:eastAsia="Calibri" w:hAnsi="Arial" w:cs="Arial"/>
          <w:bCs/>
          <w:i/>
          <w:iCs/>
          <w:sz w:val="24"/>
          <w:szCs w:val="24"/>
        </w:rPr>
        <w:t>ex post</w:t>
      </w:r>
      <w:r w:rsidRPr="00376913">
        <w:rPr>
          <w:rFonts w:ascii="Arial" w:eastAsia="Calibri" w:hAnsi="Arial" w:cs="Arial"/>
          <w:bCs/>
          <w:sz w:val="24"/>
          <w:szCs w:val="24"/>
        </w:rPr>
        <w:t>) l’aumento di debito necessario a finanziare questa ripresa (</w:t>
      </w:r>
      <w:r w:rsidRPr="00376913">
        <w:rPr>
          <w:rFonts w:ascii="Arial" w:eastAsia="Calibri" w:hAnsi="Arial" w:cs="Arial"/>
          <w:bCs/>
          <w:i/>
          <w:iCs/>
          <w:sz w:val="24"/>
          <w:szCs w:val="24"/>
        </w:rPr>
        <w:t>ex ante</w:t>
      </w:r>
      <w:r w:rsidRPr="00376913">
        <w:rPr>
          <w:rFonts w:ascii="Arial" w:eastAsia="Calibri" w:hAnsi="Arial" w:cs="Arial"/>
          <w:bCs/>
          <w:sz w:val="24"/>
          <w:szCs w:val="24"/>
        </w:rPr>
        <w:t xml:space="preserve">). </w:t>
      </w:r>
    </w:p>
    <w:p w14:paraId="2B550AA8" w14:textId="77777777" w:rsidR="00376913" w:rsidRPr="00376913" w:rsidRDefault="00376913" w:rsidP="00376913">
      <w:pPr>
        <w:pStyle w:val="Paragrafoelenco"/>
        <w:spacing w:after="60"/>
        <w:ind w:left="360"/>
        <w:jc w:val="both"/>
        <w:rPr>
          <w:rFonts w:ascii="Arial" w:eastAsia="Calibri" w:hAnsi="Arial" w:cs="Arial"/>
          <w:bCs/>
          <w:i/>
          <w:iCs/>
          <w:sz w:val="24"/>
          <w:szCs w:val="24"/>
        </w:rPr>
      </w:pPr>
      <w:r w:rsidRPr="00376913">
        <w:rPr>
          <w:rFonts w:ascii="Arial" w:eastAsia="Calibri" w:hAnsi="Arial" w:cs="Arial"/>
          <w:bCs/>
          <w:i/>
          <w:iCs/>
          <w:sz w:val="24"/>
          <w:szCs w:val="24"/>
        </w:rPr>
        <w:t xml:space="preserve">Ci si attendeva dunque </w:t>
      </w:r>
      <w:r w:rsidRPr="00376913">
        <w:rPr>
          <w:rFonts w:ascii="Arial" w:eastAsia="Calibri" w:hAnsi="Arial" w:cs="Arial"/>
          <w:bCs/>
          <w:i/>
          <w:iCs/>
          <w:sz w:val="24"/>
          <w:szCs w:val="24"/>
          <w:u w:val="single"/>
        </w:rPr>
        <w:t>già</w:t>
      </w:r>
      <w:r w:rsidRPr="00376913">
        <w:rPr>
          <w:rFonts w:ascii="Arial" w:eastAsia="Calibri" w:hAnsi="Arial" w:cs="Arial"/>
          <w:bCs/>
          <w:i/>
          <w:iCs/>
          <w:sz w:val="24"/>
          <w:szCs w:val="24"/>
        </w:rPr>
        <w:t xml:space="preserve"> una ripresa dei tassi su livelli più alti di quelli visti negli ultimi 20 anni, dominati da bassa crescita economica, inflazione e tassi prossimi allo zero.</w:t>
      </w:r>
    </w:p>
    <w:p w14:paraId="7886A592" w14:textId="77777777" w:rsidR="00376913" w:rsidRPr="00376913" w:rsidRDefault="00376913" w:rsidP="00376913">
      <w:pPr>
        <w:pStyle w:val="Paragrafoelenco"/>
        <w:spacing w:after="60"/>
        <w:ind w:left="360"/>
        <w:jc w:val="both"/>
        <w:rPr>
          <w:rFonts w:ascii="Arial" w:eastAsia="Calibri" w:hAnsi="Arial" w:cs="Arial"/>
          <w:bCs/>
          <w:sz w:val="24"/>
          <w:szCs w:val="24"/>
        </w:rPr>
      </w:pPr>
    </w:p>
    <w:p w14:paraId="608ACA5F" w14:textId="77777777" w:rsidR="00376913" w:rsidRPr="00376913" w:rsidRDefault="00376913" w:rsidP="00376913">
      <w:pPr>
        <w:pStyle w:val="Paragrafoelenco"/>
        <w:spacing w:after="60"/>
        <w:ind w:left="360"/>
        <w:jc w:val="both"/>
        <w:rPr>
          <w:rFonts w:ascii="Arial" w:eastAsia="Calibri" w:hAnsi="Arial" w:cs="Arial"/>
          <w:bCs/>
          <w:sz w:val="24"/>
          <w:szCs w:val="24"/>
        </w:rPr>
      </w:pPr>
      <w:r w:rsidRPr="00376913">
        <w:rPr>
          <w:rFonts w:ascii="Arial" w:eastAsia="Calibri" w:hAnsi="Arial" w:cs="Arial"/>
          <w:b/>
          <w:sz w:val="24"/>
          <w:szCs w:val="24"/>
        </w:rPr>
        <w:t xml:space="preserve">CICLO PRECEDENTE (IERI): </w:t>
      </w:r>
      <w:r w:rsidRPr="00376913">
        <w:rPr>
          <w:rFonts w:ascii="Arial" w:eastAsia="Calibri" w:hAnsi="Arial" w:cs="Arial"/>
          <w:bCs/>
          <w:sz w:val="24"/>
          <w:szCs w:val="24"/>
        </w:rPr>
        <w:t xml:space="preserve">crescita </w:t>
      </w:r>
      <w:r w:rsidRPr="00376913">
        <w:rPr>
          <w:rFonts w:ascii="Arial" w:eastAsia="Calibri" w:hAnsi="Arial" w:cs="Arial"/>
          <w:bCs/>
          <w:i/>
          <w:iCs/>
          <w:sz w:val="24"/>
          <w:szCs w:val="24"/>
        </w:rPr>
        <w:t>mercati</w:t>
      </w:r>
      <w:r w:rsidRPr="00376913">
        <w:rPr>
          <w:rFonts w:ascii="Arial" w:eastAsia="Calibri" w:hAnsi="Arial" w:cs="Arial"/>
          <w:bCs/>
          <w:sz w:val="24"/>
          <w:szCs w:val="24"/>
        </w:rPr>
        <w:t xml:space="preserve"> più elevata rispetto alla crescita delle </w:t>
      </w:r>
      <w:r w:rsidRPr="00376913">
        <w:rPr>
          <w:rFonts w:ascii="Arial" w:eastAsia="Calibri" w:hAnsi="Arial" w:cs="Arial"/>
          <w:bCs/>
          <w:i/>
          <w:iCs/>
          <w:sz w:val="24"/>
          <w:szCs w:val="24"/>
        </w:rPr>
        <w:t>economie reali</w:t>
      </w:r>
      <w:r w:rsidRPr="00376913">
        <w:rPr>
          <w:rFonts w:ascii="Arial" w:eastAsia="Calibri" w:hAnsi="Arial" w:cs="Arial"/>
          <w:bCs/>
          <w:sz w:val="24"/>
          <w:szCs w:val="24"/>
        </w:rPr>
        <w:t>:</w:t>
      </w:r>
    </w:p>
    <w:p w14:paraId="478293ED" w14:textId="77777777" w:rsidR="00376913" w:rsidRPr="00376913" w:rsidRDefault="00376913" w:rsidP="00376913">
      <w:pPr>
        <w:pStyle w:val="Paragrafoelenco"/>
        <w:numPr>
          <w:ilvl w:val="0"/>
          <w:numId w:val="2"/>
        </w:numPr>
        <w:spacing w:after="60"/>
        <w:jc w:val="both"/>
        <w:rPr>
          <w:rFonts w:ascii="Arial" w:eastAsia="Calibri" w:hAnsi="Arial" w:cs="Arial"/>
          <w:bCs/>
          <w:sz w:val="24"/>
          <w:szCs w:val="24"/>
        </w:rPr>
      </w:pPr>
      <w:r w:rsidRPr="00376913">
        <w:rPr>
          <w:rFonts w:ascii="Arial" w:eastAsia="Calibri" w:hAnsi="Arial" w:cs="Arial"/>
          <w:bCs/>
          <w:sz w:val="24"/>
          <w:szCs w:val="24"/>
          <w:u w:val="single"/>
        </w:rPr>
        <w:t>Azionario</w:t>
      </w:r>
      <w:r w:rsidRPr="00376913">
        <w:rPr>
          <w:rFonts w:ascii="Arial" w:eastAsia="Calibri" w:hAnsi="Arial" w:cs="Arial"/>
          <w:bCs/>
          <w:sz w:val="24"/>
          <w:szCs w:val="24"/>
        </w:rPr>
        <w:t>: forte impulso ‘</w:t>
      </w:r>
      <w:r w:rsidRPr="00376913">
        <w:rPr>
          <w:rFonts w:ascii="Arial" w:eastAsia="Calibri" w:hAnsi="Arial" w:cs="Arial"/>
          <w:bCs/>
          <w:i/>
          <w:iCs/>
          <w:sz w:val="24"/>
          <w:szCs w:val="24"/>
        </w:rPr>
        <w:t>new economy</w:t>
      </w:r>
      <w:r w:rsidRPr="00376913">
        <w:rPr>
          <w:rFonts w:ascii="Arial" w:eastAsia="Calibri" w:hAnsi="Arial" w:cs="Arial"/>
          <w:bCs/>
          <w:sz w:val="24"/>
          <w:szCs w:val="24"/>
        </w:rPr>
        <w:t xml:space="preserve">’ azionario, strategie </w:t>
      </w:r>
      <w:proofErr w:type="spellStart"/>
      <w:r w:rsidRPr="00376913">
        <w:rPr>
          <w:rFonts w:ascii="Arial" w:eastAsia="Calibri" w:hAnsi="Arial" w:cs="Arial"/>
          <w:bCs/>
          <w:i/>
          <w:iCs/>
          <w:sz w:val="24"/>
          <w:szCs w:val="24"/>
        </w:rPr>
        <w:t>growth</w:t>
      </w:r>
      <w:proofErr w:type="spellEnd"/>
      <w:r w:rsidRPr="00376913">
        <w:rPr>
          <w:rFonts w:ascii="Arial" w:eastAsia="Calibri" w:hAnsi="Arial" w:cs="Arial"/>
          <w:bCs/>
          <w:sz w:val="24"/>
          <w:szCs w:val="24"/>
        </w:rPr>
        <w:t xml:space="preserve"> (tecnologia) molto spinto dalla crescita della Cina e degli USA sulle rispettive industrie: capitalizzazioni </w:t>
      </w:r>
      <w:r w:rsidRPr="00376913">
        <w:rPr>
          <w:rFonts w:ascii="Arial" w:eastAsia="Calibri" w:hAnsi="Arial" w:cs="Arial"/>
          <w:bCs/>
          <w:i/>
          <w:iCs/>
          <w:sz w:val="24"/>
          <w:szCs w:val="24"/>
        </w:rPr>
        <w:t>monstre</w:t>
      </w:r>
      <w:r w:rsidRPr="00376913">
        <w:rPr>
          <w:rFonts w:ascii="Arial" w:eastAsia="Calibri" w:hAnsi="Arial" w:cs="Arial"/>
          <w:bCs/>
          <w:sz w:val="24"/>
          <w:szCs w:val="24"/>
        </w:rPr>
        <w:t xml:space="preserve"> dei colossi tecnologici che drenano i mercati più tradizionali (Europa). Forte utilizzo della leva dato il costo del denaro basso. La volatilità del mercato rispetto al passato è bassa. Pochi s</w:t>
      </w:r>
      <w:r w:rsidRPr="00376913">
        <w:rPr>
          <w:rFonts w:ascii="Arial" w:eastAsia="Calibri" w:hAnsi="Arial" w:cs="Arial"/>
          <w:bCs/>
          <w:i/>
          <w:iCs/>
          <w:sz w:val="24"/>
          <w:szCs w:val="24"/>
        </w:rPr>
        <w:t>hock</w:t>
      </w:r>
      <w:r w:rsidRPr="00376913">
        <w:rPr>
          <w:rFonts w:ascii="Arial" w:eastAsia="Calibri" w:hAnsi="Arial" w:cs="Arial"/>
          <w:bCs/>
          <w:sz w:val="24"/>
          <w:szCs w:val="24"/>
        </w:rPr>
        <w:t>, violenti (causa principale le posizioni costruite a leva) ma di breve durata. Rendimenti elevati. LONG.</w:t>
      </w:r>
    </w:p>
    <w:p w14:paraId="7771B6C6" w14:textId="77777777" w:rsidR="00376913" w:rsidRPr="00376913" w:rsidRDefault="00376913" w:rsidP="00376913">
      <w:pPr>
        <w:pStyle w:val="Paragrafoelenco"/>
        <w:numPr>
          <w:ilvl w:val="0"/>
          <w:numId w:val="2"/>
        </w:numPr>
        <w:spacing w:after="60"/>
        <w:jc w:val="both"/>
        <w:rPr>
          <w:rFonts w:ascii="Arial" w:eastAsia="Calibri" w:hAnsi="Arial" w:cs="Arial"/>
          <w:bCs/>
          <w:sz w:val="24"/>
          <w:szCs w:val="24"/>
        </w:rPr>
      </w:pPr>
      <w:r w:rsidRPr="00376913">
        <w:rPr>
          <w:rFonts w:ascii="Arial" w:eastAsia="Calibri" w:hAnsi="Arial" w:cs="Arial"/>
          <w:bCs/>
          <w:sz w:val="24"/>
          <w:szCs w:val="24"/>
          <w:u w:val="single"/>
        </w:rPr>
        <w:t>Private Equity</w:t>
      </w:r>
      <w:r w:rsidRPr="00376913">
        <w:rPr>
          <w:rFonts w:ascii="Arial" w:eastAsia="Calibri" w:hAnsi="Arial" w:cs="Arial"/>
          <w:bCs/>
          <w:sz w:val="24"/>
          <w:szCs w:val="24"/>
        </w:rPr>
        <w:t xml:space="preserve">: vede stabilizzare i rendimenti rispetto al passato, risente ancora della competizione dei titoli ‘quotati’ che offrono maggiori rendimenti; la classe si consolida. In </w:t>
      </w:r>
      <w:proofErr w:type="spellStart"/>
      <w:r w:rsidRPr="00376913">
        <w:rPr>
          <w:rFonts w:ascii="Arial" w:eastAsia="Calibri" w:hAnsi="Arial" w:cs="Arial"/>
          <w:bCs/>
          <w:sz w:val="24"/>
          <w:szCs w:val="24"/>
        </w:rPr>
        <w:t>italia</w:t>
      </w:r>
      <w:proofErr w:type="spellEnd"/>
      <w:r w:rsidRPr="00376913">
        <w:rPr>
          <w:rFonts w:ascii="Arial" w:eastAsia="Calibri" w:hAnsi="Arial" w:cs="Arial"/>
          <w:bCs/>
          <w:sz w:val="24"/>
          <w:szCs w:val="24"/>
        </w:rPr>
        <w:t xml:space="preserve"> comincia a crescere gradualmente man mano che le banche arretrano nel sistema tagliando i supporti tradizionali all’impresa. Rendimenti elevati. LONG.</w:t>
      </w:r>
    </w:p>
    <w:p w14:paraId="607DB54D" w14:textId="77777777" w:rsidR="00376913" w:rsidRPr="00376913" w:rsidRDefault="00376913" w:rsidP="00376913">
      <w:pPr>
        <w:pStyle w:val="Paragrafoelenco"/>
        <w:numPr>
          <w:ilvl w:val="0"/>
          <w:numId w:val="2"/>
        </w:numPr>
        <w:spacing w:after="60"/>
        <w:jc w:val="both"/>
        <w:rPr>
          <w:rFonts w:ascii="Arial" w:eastAsia="Calibri" w:hAnsi="Arial" w:cs="Arial"/>
          <w:bCs/>
          <w:sz w:val="24"/>
          <w:szCs w:val="24"/>
        </w:rPr>
      </w:pPr>
      <w:r w:rsidRPr="00376913">
        <w:rPr>
          <w:rFonts w:ascii="Arial" w:eastAsia="Calibri" w:hAnsi="Arial" w:cs="Arial"/>
          <w:bCs/>
          <w:sz w:val="24"/>
          <w:szCs w:val="24"/>
          <w:u w:val="single"/>
        </w:rPr>
        <w:t>Obbligazionario</w:t>
      </w:r>
      <w:r w:rsidRPr="00376913">
        <w:rPr>
          <w:rFonts w:ascii="Arial" w:eastAsia="Calibri" w:hAnsi="Arial" w:cs="Arial"/>
          <w:bCs/>
          <w:sz w:val="24"/>
          <w:szCs w:val="24"/>
        </w:rPr>
        <w:t xml:space="preserve">: forte crescita (a tassi bassi) dei prezzi di tutte le classi, incluse quelle più rischiose (credito, </w:t>
      </w:r>
      <w:r w:rsidRPr="00376913">
        <w:rPr>
          <w:rFonts w:ascii="Arial" w:eastAsia="Calibri" w:hAnsi="Arial" w:cs="Arial"/>
          <w:bCs/>
          <w:i/>
          <w:iCs/>
          <w:sz w:val="24"/>
          <w:szCs w:val="24"/>
        </w:rPr>
        <w:t>High yield</w:t>
      </w:r>
      <w:r w:rsidRPr="00376913">
        <w:rPr>
          <w:rFonts w:ascii="Arial" w:eastAsia="Calibri" w:hAnsi="Arial" w:cs="Arial"/>
          <w:bCs/>
          <w:sz w:val="24"/>
          <w:szCs w:val="24"/>
        </w:rPr>
        <w:t xml:space="preserve">): i bassi tassi rendono debito attraente, diminuiscono i </w:t>
      </w:r>
      <w:r w:rsidRPr="00376913">
        <w:rPr>
          <w:rFonts w:ascii="Arial" w:eastAsia="Calibri" w:hAnsi="Arial" w:cs="Arial"/>
          <w:bCs/>
          <w:i/>
          <w:iCs/>
          <w:sz w:val="24"/>
          <w:szCs w:val="24"/>
        </w:rPr>
        <w:t>default</w:t>
      </w:r>
      <w:r w:rsidRPr="00376913">
        <w:rPr>
          <w:rFonts w:ascii="Arial" w:eastAsia="Calibri" w:hAnsi="Arial" w:cs="Arial"/>
          <w:bCs/>
          <w:sz w:val="24"/>
          <w:szCs w:val="24"/>
        </w:rPr>
        <w:t xml:space="preserve">. Durando molto il ciclo di </w:t>
      </w:r>
      <w:proofErr w:type="spellStart"/>
      <w:r w:rsidRPr="00376913">
        <w:rPr>
          <w:rFonts w:ascii="Arial" w:eastAsia="Calibri" w:hAnsi="Arial" w:cs="Arial"/>
          <w:bCs/>
          <w:i/>
          <w:iCs/>
          <w:sz w:val="24"/>
          <w:szCs w:val="24"/>
        </w:rPr>
        <w:t>easing</w:t>
      </w:r>
      <w:proofErr w:type="spellEnd"/>
      <w:r w:rsidRPr="00376913">
        <w:rPr>
          <w:rFonts w:ascii="Arial" w:eastAsia="Calibri" w:hAnsi="Arial" w:cs="Arial"/>
          <w:bCs/>
          <w:sz w:val="24"/>
          <w:szCs w:val="24"/>
        </w:rPr>
        <w:t>, negli ultimi anni questa classe tipicamente ‘</w:t>
      </w:r>
      <w:proofErr w:type="spellStart"/>
      <w:r w:rsidRPr="00376913">
        <w:rPr>
          <w:rFonts w:ascii="Arial" w:eastAsia="Calibri" w:hAnsi="Arial" w:cs="Arial"/>
          <w:bCs/>
          <w:i/>
          <w:iCs/>
          <w:sz w:val="24"/>
          <w:szCs w:val="24"/>
        </w:rPr>
        <w:t>buy</w:t>
      </w:r>
      <w:proofErr w:type="spellEnd"/>
      <w:r w:rsidRPr="00376913">
        <w:rPr>
          <w:rFonts w:ascii="Arial" w:eastAsia="Calibri" w:hAnsi="Arial" w:cs="Arial"/>
          <w:bCs/>
          <w:i/>
          <w:iCs/>
          <w:sz w:val="24"/>
          <w:szCs w:val="24"/>
        </w:rPr>
        <w:t xml:space="preserve"> &amp; </w:t>
      </w:r>
      <w:proofErr w:type="spellStart"/>
      <w:r w:rsidRPr="00376913">
        <w:rPr>
          <w:rFonts w:ascii="Arial" w:eastAsia="Calibri" w:hAnsi="Arial" w:cs="Arial"/>
          <w:bCs/>
          <w:i/>
          <w:iCs/>
          <w:sz w:val="24"/>
          <w:szCs w:val="24"/>
        </w:rPr>
        <w:t>hold</w:t>
      </w:r>
      <w:proofErr w:type="spellEnd"/>
      <w:r w:rsidRPr="00376913">
        <w:rPr>
          <w:rFonts w:ascii="Arial" w:eastAsia="Calibri" w:hAnsi="Arial" w:cs="Arial"/>
          <w:bCs/>
          <w:sz w:val="24"/>
          <w:szCs w:val="24"/>
        </w:rPr>
        <w:t xml:space="preserve">’ vede aumentare il trading (mercato che anticipa rialzi, ribassi </w:t>
      </w:r>
      <w:proofErr w:type="spellStart"/>
      <w:r w:rsidRPr="00376913">
        <w:rPr>
          <w:rFonts w:ascii="Arial" w:eastAsia="Calibri" w:hAnsi="Arial" w:cs="Arial"/>
          <w:bCs/>
          <w:sz w:val="24"/>
          <w:szCs w:val="24"/>
        </w:rPr>
        <w:t>etc</w:t>
      </w:r>
      <w:proofErr w:type="spellEnd"/>
      <w:r w:rsidRPr="00376913">
        <w:rPr>
          <w:rFonts w:ascii="Arial" w:eastAsia="Calibri" w:hAnsi="Arial" w:cs="Arial"/>
          <w:bCs/>
          <w:sz w:val="24"/>
          <w:szCs w:val="24"/>
        </w:rPr>
        <w:t>) che hanno fatto aumentare molto la volatilità rispetto al passato. Performance di prezzo elevate in fase di discesa tassi, poi stallo per bassi rendimenti impliciti (cedole basse). Da strumento tradizionale di compressione del rischio a strumento di volatilità. LONG.</w:t>
      </w:r>
    </w:p>
    <w:p w14:paraId="51A1300D" w14:textId="77777777" w:rsidR="00376913" w:rsidRPr="00376913" w:rsidRDefault="00376913" w:rsidP="00376913">
      <w:pPr>
        <w:pStyle w:val="Paragrafoelenco"/>
        <w:numPr>
          <w:ilvl w:val="0"/>
          <w:numId w:val="2"/>
        </w:numPr>
        <w:spacing w:after="60"/>
        <w:jc w:val="both"/>
        <w:rPr>
          <w:rFonts w:ascii="Arial" w:eastAsia="Calibri" w:hAnsi="Arial" w:cs="Arial"/>
          <w:bCs/>
          <w:sz w:val="24"/>
          <w:szCs w:val="24"/>
        </w:rPr>
      </w:pPr>
      <w:r w:rsidRPr="00376913">
        <w:rPr>
          <w:rFonts w:ascii="Arial" w:eastAsia="Calibri" w:hAnsi="Arial" w:cs="Arial"/>
          <w:bCs/>
          <w:sz w:val="24"/>
          <w:szCs w:val="24"/>
          <w:u w:val="single"/>
        </w:rPr>
        <w:t xml:space="preserve">Private </w:t>
      </w:r>
      <w:proofErr w:type="spellStart"/>
      <w:r w:rsidRPr="00376913">
        <w:rPr>
          <w:rFonts w:ascii="Arial" w:eastAsia="Calibri" w:hAnsi="Arial" w:cs="Arial"/>
          <w:bCs/>
          <w:sz w:val="24"/>
          <w:szCs w:val="24"/>
          <w:u w:val="single"/>
        </w:rPr>
        <w:t>Debt</w:t>
      </w:r>
      <w:proofErr w:type="spellEnd"/>
      <w:r w:rsidRPr="00376913">
        <w:rPr>
          <w:rFonts w:ascii="Arial" w:eastAsia="Calibri" w:hAnsi="Arial" w:cs="Arial"/>
          <w:bCs/>
          <w:sz w:val="24"/>
          <w:szCs w:val="24"/>
        </w:rPr>
        <w:t>: emerge come classe di investimento, fondamentalmente sempre perché le banche recedono tagliando i supporti tradizionali all’impresa. Rendimenti medi, volatilità elevata. In consolidamento.</w:t>
      </w:r>
    </w:p>
    <w:p w14:paraId="58167F98" w14:textId="0B286F1E" w:rsidR="00087AD7" w:rsidRPr="00376913" w:rsidRDefault="00376913" w:rsidP="00376913">
      <w:pPr>
        <w:rPr>
          <w:rFonts w:ascii="Arial" w:eastAsia="Calibri" w:hAnsi="Arial" w:cs="Arial"/>
          <w:bCs/>
          <w:szCs w:val="24"/>
        </w:rPr>
      </w:pPr>
      <w:r w:rsidRPr="00376913">
        <w:rPr>
          <w:rFonts w:ascii="Arial" w:eastAsia="Calibri" w:hAnsi="Arial" w:cs="Arial"/>
          <w:bCs/>
          <w:szCs w:val="24"/>
          <w:u w:val="single"/>
        </w:rPr>
        <w:t>Real Estate</w:t>
      </w:r>
      <w:r w:rsidRPr="00376913">
        <w:rPr>
          <w:rFonts w:ascii="Arial" w:eastAsia="Calibri" w:hAnsi="Arial" w:cs="Arial"/>
          <w:bCs/>
          <w:szCs w:val="24"/>
        </w:rPr>
        <w:t xml:space="preserve">: i bassi tassi di interesse hanno marcato un forte differenziale di rendimento con i </w:t>
      </w:r>
      <w:r w:rsidRPr="00376913">
        <w:rPr>
          <w:rFonts w:ascii="Arial" w:eastAsia="Calibri" w:hAnsi="Arial" w:cs="Arial"/>
          <w:bCs/>
          <w:i/>
          <w:iCs/>
          <w:szCs w:val="24"/>
        </w:rPr>
        <w:t>benchmark</w:t>
      </w:r>
      <w:r w:rsidRPr="00376913">
        <w:rPr>
          <w:rFonts w:ascii="Arial" w:eastAsia="Calibri" w:hAnsi="Arial" w:cs="Arial"/>
          <w:bCs/>
          <w:szCs w:val="24"/>
        </w:rPr>
        <w:t xml:space="preserve"> governativi, che ha sostenuto le strategie stabili (Core) su cui si è riversata sempre maggiore liquidità: determinati investimenti venivano visti adeguatamente </w:t>
      </w:r>
      <w:r w:rsidRPr="00376913">
        <w:rPr>
          <w:rFonts w:ascii="Arial" w:eastAsia="Calibri" w:hAnsi="Arial" w:cs="Arial"/>
          <w:bCs/>
          <w:szCs w:val="24"/>
        </w:rPr>
        <w:lastRenderedPageBreak/>
        <w:t>stabili, con rendimenti superiori ai titoli di stato (tipicamente Germania e Inghilterra, poi gradualmente altre regioni). Fenomeni di urbanizzazione spinta e altri temi secolari (longevità, abitudini d’acquisto) hanno visto crescere il mercato di strategie prima secondarie (</w:t>
      </w:r>
      <w:proofErr w:type="spellStart"/>
      <w:r w:rsidRPr="00376913">
        <w:rPr>
          <w:rFonts w:ascii="Arial" w:eastAsia="Calibri" w:hAnsi="Arial" w:cs="Arial"/>
          <w:bCs/>
          <w:i/>
          <w:iCs/>
          <w:szCs w:val="24"/>
        </w:rPr>
        <w:t>healthcare</w:t>
      </w:r>
      <w:proofErr w:type="spellEnd"/>
      <w:r w:rsidRPr="00376913">
        <w:rPr>
          <w:rFonts w:ascii="Arial" w:eastAsia="Calibri" w:hAnsi="Arial" w:cs="Arial"/>
          <w:bCs/>
          <w:szCs w:val="24"/>
        </w:rPr>
        <w:t>, logistica) rispetto alle primarie (direzionale, residenziale), con graduale compressione dei rendimenti. LONG</w:t>
      </w:r>
    </w:p>
    <w:p w14:paraId="6C221DEA" w14:textId="77777777" w:rsidR="00376913" w:rsidRPr="00376913" w:rsidRDefault="00376913" w:rsidP="00376913">
      <w:pPr>
        <w:pStyle w:val="Paragrafoelenco"/>
        <w:numPr>
          <w:ilvl w:val="0"/>
          <w:numId w:val="2"/>
        </w:numPr>
        <w:spacing w:after="60"/>
        <w:jc w:val="both"/>
        <w:rPr>
          <w:rFonts w:ascii="Arial" w:eastAsia="Calibri" w:hAnsi="Arial" w:cs="Arial"/>
          <w:bCs/>
          <w:sz w:val="24"/>
          <w:szCs w:val="24"/>
        </w:rPr>
      </w:pPr>
      <w:r w:rsidRPr="00376913">
        <w:rPr>
          <w:rFonts w:ascii="Arial" w:eastAsia="Calibri" w:hAnsi="Arial" w:cs="Arial"/>
          <w:bCs/>
          <w:sz w:val="24"/>
          <w:szCs w:val="24"/>
          <w:u w:val="single"/>
        </w:rPr>
        <w:t>Infrastrutture</w:t>
      </w:r>
      <w:r w:rsidRPr="00376913">
        <w:rPr>
          <w:rFonts w:ascii="Arial" w:eastAsia="Calibri" w:hAnsi="Arial" w:cs="Arial"/>
          <w:bCs/>
          <w:sz w:val="24"/>
          <w:szCs w:val="24"/>
        </w:rPr>
        <w:t xml:space="preserve">: emerge ‘violentemente’ come classe di investimento istituzionale, </w:t>
      </w:r>
      <w:r w:rsidRPr="00376913">
        <w:rPr>
          <w:rFonts w:ascii="Arial" w:eastAsia="Calibri" w:hAnsi="Arial" w:cs="Arial"/>
          <w:bCs/>
          <w:i/>
          <w:iCs/>
          <w:sz w:val="24"/>
          <w:szCs w:val="24"/>
        </w:rPr>
        <w:t>in primis</w:t>
      </w:r>
      <w:r w:rsidRPr="00376913">
        <w:rPr>
          <w:rFonts w:ascii="Arial" w:eastAsia="Calibri" w:hAnsi="Arial" w:cs="Arial"/>
          <w:bCs/>
          <w:sz w:val="24"/>
          <w:szCs w:val="24"/>
        </w:rPr>
        <w:t xml:space="preserve"> per colmare il </w:t>
      </w:r>
      <w:r w:rsidRPr="00376913">
        <w:rPr>
          <w:rFonts w:ascii="Arial" w:eastAsia="Calibri" w:hAnsi="Arial" w:cs="Arial"/>
          <w:bCs/>
          <w:i/>
          <w:iCs/>
          <w:sz w:val="24"/>
          <w:szCs w:val="24"/>
        </w:rPr>
        <w:t>funding gap</w:t>
      </w:r>
      <w:r w:rsidRPr="00376913">
        <w:rPr>
          <w:rFonts w:ascii="Arial" w:eastAsia="Calibri" w:hAnsi="Arial" w:cs="Arial"/>
          <w:bCs/>
          <w:sz w:val="24"/>
          <w:szCs w:val="24"/>
        </w:rPr>
        <w:t xml:space="preserve"> governativo, poi come strumento PPP di miglioramento sociale. Anche qui gioca a favore dell’iniziativa privata la disintermediazione del settore finanziario. Si ‘storicizza’ attaccandosi a quasi tutte le filiere di riforma strutturale/miglioramento contesto/servizi essenziali. Emergono numerosi player più o meno specializzati. Aumentano le regolamentazioni di settore, si (cerca) di migliorare la legislazione dei vari settori e del regime di concessione. Volatilità bassa, Rendimenti stabili. LONG.</w:t>
      </w:r>
    </w:p>
    <w:p w14:paraId="73E28CCC" w14:textId="77777777" w:rsidR="00376913" w:rsidRPr="00376913" w:rsidRDefault="00376913" w:rsidP="00376913">
      <w:pPr>
        <w:pStyle w:val="Paragrafoelenco"/>
        <w:spacing w:after="60"/>
        <w:ind w:left="360"/>
        <w:jc w:val="both"/>
        <w:rPr>
          <w:rFonts w:ascii="Arial" w:eastAsia="Calibri" w:hAnsi="Arial" w:cs="Arial"/>
          <w:bCs/>
          <w:sz w:val="24"/>
          <w:szCs w:val="24"/>
        </w:rPr>
      </w:pPr>
    </w:p>
    <w:p w14:paraId="55405270" w14:textId="77777777" w:rsidR="00376913" w:rsidRPr="00376913" w:rsidRDefault="00376913" w:rsidP="00376913">
      <w:pPr>
        <w:pStyle w:val="Paragrafoelenco"/>
        <w:spacing w:after="60"/>
        <w:ind w:left="360"/>
        <w:jc w:val="both"/>
        <w:rPr>
          <w:rFonts w:ascii="Arial" w:eastAsia="Calibri" w:hAnsi="Arial" w:cs="Arial"/>
          <w:bCs/>
          <w:sz w:val="24"/>
          <w:szCs w:val="24"/>
        </w:rPr>
      </w:pPr>
      <w:r w:rsidRPr="00376913">
        <w:rPr>
          <w:rFonts w:ascii="Arial" w:eastAsia="Calibri" w:hAnsi="Arial" w:cs="Arial"/>
          <w:b/>
          <w:sz w:val="24"/>
          <w:szCs w:val="24"/>
        </w:rPr>
        <w:t>Fattori dominanti del ciclo</w:t>
      </w:r>
      <w:r w:rsidRPr="00376913">
        <w:rPr>
          <w:rFonts w:ascii="Arial" w:eastAsia="Calibri" w:hAnsi="Arial" w:cs="Arial"/>
          <w:bCs/>
          <w:sz w:val="24"/>
          <w:szCs w:val="24"/>
        </w:rPr>
        <w:t>:</w:t>
      </w:r>
    </w:p>
    <w:p w14:paraId="1FA774EC" w14:textId="77777777" w:rsidR="00376913" w:rsidRPr="00376913" w:rsidRDefault="00376913" w:rsidP="00376913">
      <w:pPr>
        <w:pStyle w:val="Paragrafoelenco"/>
        <w:numPr>
          <w:ilvl w:val="0"/>
          <w:numId w:val="3"/>
        </w:numPr>
        <w:spacing w:after="60"/>
        <w:jc w:val="both"/>
        <w:rPr>
          <w:rFonts w:ascii="Arial" w:eastAsia="Calibri" w:hAnsi="Arial" w:cs="Arial"/>
          <w:bCs/>
          <w:sz w:val="24"/>
          <w:szCs w:val="24"/>
        </w:rPr>
      </w:pPr>
      <w:r w:rsidRPr="00376913">
        <w:rPr>
          <w:rFonts w:ascii="Arial" w:eastAsia="Calibri" w:hAnsi="Arial" w:cs="Arial"/>
          <w:bCs/>
          <w:sz w:val="24"/>
          <w:szCs w:val="24"/>
        </w:rPr>
        <w:t>Bassi tassi di interesse</w:t>
      </w:r>
    </w:p>
    <w:p w14:paraId="763D3A3A" w14:textId="77777777" w:rsidR="00376913" w:rsidRPr="00376913" w:rsidRDefault="00376913" w:rsidP="00376913">
      <w:pPr>
        <w:pStyle w:val="Paragrafoelenco"/>
        <w:numPr>
          <w:ilvl w:val="0"/>
          <w:numId w:val="3"/>
        </w:numPr>
        <w:spacing w:after="60"/>
        <w:jc w:val="both"/>
        <w:rPr>
          <w:rFonts w:ascii="Arial" w:eastAsia="Calibri" w:hAnsi="Arial" w:cs="Arial"/>
          <w:bCs/>
          <w:sz w:val="24"/>
          <w:szCs w:val="24"/>
        </w:rPr>
      </w:pPr>
      <w:r w:rsidRPr="00376913">
        <w:rPr>
          <w:rFonts w:ascii="Arial" w:eastAsia="Calibri" w:hAnsi="Arial" w:cs="Arial"/>
          <w:bCs/>
          <w:sz w:val="24"/>
          <w:szCs w:val="24"/>
        </w:rPr>
        <w:t>Bassa inflazione</w:t>
      </w:r>
    </w:p>
    <w:p w14:paraId="25EFC1A0" w14:textId="77777777" w:rsidR="00376913" w:rsidRPr="00376913" w:rsidRDefault="00376913" w:rsidP="00376913">
      <w:pPr>
        <w:pStyle w:val="Paragrafoelenco"/>
        <w:numPr>
          <w:ilvl w:val="0"/>
          <w:numId w:val="3"/>
        </w:numPr>
        <w:spacing w:after="60"/>
        <w:jc w:val="both"/>
        <w:rPr>
          <w:rFonts w:ascii="Arial" w:eastAsia="Calibri" w:hAnsi="Arial" w:cs="Arial"/>
          <w:bCs/>
          <w:sz w:val="24"/>
          <w:szCs w:val="24"/>
        </w:rPr>
      </w:pPr>
      <w:r w:rsidRPr="00376913">
        <w:rPr>
          <w:rFonts w:ascii="Arial" w:eastAsia="Calibri" w:hAnsi="Arial" w:cs="Arial"/>
          <w:bCs/>
          <w:sz w:val="24"/>
          <w:szCs w:val="24"/>
        </w:rPr>
        <w:t>Economia e domanda debole (occidente)</w:t>
      </w:r>
    </w:p>
    <w:p w14:paraId="79E3E905" w14:textId="77777777" w:rsidR="00376913" w:rsidRPr="00376913" w:rsidRDefault="00376913" w:rsidP="00376913">
      <w:pPr>
        <w:pStyle w:val="Paragrafoelenco"/>
        <w:numPr>
          <w:ilvl w:val="0"/>
          <w:numId w:val="3"/>
        </w:numPr>
        <w:spacing w:after="60"/>
        <w:jc w:val="both"/>
        <w:rPr>
          <w:rFonts w:ascii="Arial" w:eastAsia="Calibri" w:hAnsi="Arial" w:cs="Arial"/>
          <w:bCs/>
          <w:sz w:val="24"/>
          <w:szCs w:val="24"/>
        </w:rPr>
      </w:pPr>
      <w:r w:rsidRPr="00376913">
        <w:rPr>
          <w:rFonts w:ascii="Arial" w:eastAsia="Calibri" w:hAnsi="Arial" w:cs="Arial"/>
          <w:bCs/>
          <w:sz w:val="24"/>
          <w:szCs w:val="24"/>
        </w:rPr>
        <w:t>Globalizzazione/esternalizzazione produzione</w:t>
      </w:r>
    </w:p>
    <w:p w14:paraId="376F531D" w14:textId="77777777" w:rsidR="00376913" w:rsidRPr="00376913" w:rsidRDefault="00376913" w:rsidP="00376913">
      <w:pPr>
        <w:pStyle w:val="Paragrafoelenco"/>
        <w:numPr>
          <w:ilvl w:val="0"/>
          <w:numId w:val="3"/>
        </w:numPr>
        <w:spacing w:after="60"/>
        <w:jc w:val="both"/>
        <w:rPr>
          <w:rFonts w:ascii="Arial" w:eastAsia="Calibri" w:hAnsi="Arial" w:cs="Arial"/>
          <w:bCs/>
          <w:sz w:val="24"/>
          <w:szCs w:val="24"/>
        </w:rPr>
      </w:pPr>
      <w:r w:rsidRPr="00376913">
        <w:rPr>
          <w:rFonts w:ascii="Arial" w:eastAsia="Calibri" w:hAnsi="Arial" w:cs="Arial"/>
          <w:bCs/>
          <w:sz w:val="24"/>
          <w:szCs w:val="24"/>
        </w:rPr>
        <w:t>Economia e domanda forte (Cina/Asia)</w:t>
      </w:r>
    </w:p>
    <w:p w14:paraId="44D44166" w14:textId="77777777" w:rsidR="00376913" w:rsidRPr="00376913" w:rsidRDefault="00376913" w:rsidP="00376913">
      <w:pPr>
        <w:pStyle w:val="Paragrafoelenco"/>
        <w:numPr>
          <w:ilvl w:val="0"/>
          <w:numId w:val="3"/>
        </w:numPr>
        <w:spacing w:after="60"/>
        <w:jc w:val="both"/>
        <w:rPr>
          <w:rFonts w:ascii="Arial" w:eastAsia="Calibri" w:hAnsi="Arial" w:cs="Arial"/>
          <w:bCs/>
          <w:sz w:val="24"/>
          <w:szCs w:val="24"/>
        </w:rPr>
      </w:pPr>
      <w:r w:rsidRPr="00376913">
        <w:rPr>
          <w:rFonts w:ascii="Arial" w:eastAsia="Calibri" w:hAnsi="Arial" w:cs="Arial"/>
          <w:bCs/>
          <w:sz w:val="24"/>
          <w:szCs w:val="24"/>
        </w:rPr>
        <w:t>Commercio internazionale/catene di fornitura/bassi costi di produzione (Cina)</w:t>
      </w:r>
    </w:p>
    <w:p w14:paraId="1DDDB2EF" w14:textId="77777777" w:rsidR="00376913" w:rsidRPr="00376913" w:rsidRDefault="00376913" w:rsidP="00376913">
      <w:pPr>
        <w:spacing w:after="60"/>
        <w:jc w:val="both"/>
        <w:rPr>
          <w:rFonts w:ascii="Arial" w:eastAsia="Calibri" w:hAnsi="Arial" w:cs="Arial"/>
          <w:bCs/>
          <w:szCs w:val="24"/>
        </w:rPr>
      </w:pPr>
    </w:p>
    <w:p w14:paraId="5D263C3C" w14:textId="77777777" w:rsidR="00376913" w:rsidRPr="00376913" w:rsidRDefault="00376913" w:rsidP="00376913">
      <w:pPr>
        <w:pStyle w:val="Paragrafoelenco"/>
        <w:spacing w:after="60"/>
        <w:ind w:left="360"/>
        <w:jc w:val="both"/>
        <w:rPr>
          <w:rFonts w:ascii="Arial" w:eastAsia="Calibri" w:hAnsi="Arial" w:cs="Arial"/>
          <w:bCs/>
          <w:sz w:val="24"/>
          <w:szCs w:val="24"/>
        </w:rPr>
      </w:pPr>
      <w:r w:rsidRPr="00376913">
        <w:rPr>
          <w:rFonts w:ascii="Arial" w:eastAsia="Calibri" w:hAnsi="Arial" w:cs="Arial"/>
          <w:b/>
          <w:sz w:val="24"/>
          <w:szCs w:val="24"/>
        </w:rPr>
        <w:t xml:space="preserve">SITUAZIONE ATTUALE (OGGI): </w:t>
      </w:r>
      <w:r w:rsidRPr="00376913">
        <w:rPr>
          <w:rFonts w:ascii="Arial" w:eastAsia="Calibri" w:hAnsi="Arial" w:cs="Arial"/>
          <w:bCs/>
          <w:sz w:val="24"/>
          <w:szCs w:val="24"/>
        </w:rPr>
        <w:t xml:space="preserve"> </w:t>
      </w:r>
    </w:p>
    <w:p w14:paraId="1EE1B998" w14:textId="77777777" w:rsidR="00376913" w:rsidRPr="00376913" w:rsidRDefault="00376913" w:rsidP="00376913">
      <w:pPr>
        <w:pStyle w:val="Paragrafoelenco"/>
        <w:spacing w:after="60"/>
        <w:ind w:left="360"/>
        <w:jc w:val="both"/>
        <w:rPr>
          <w:rFonts w:ascii="Arial" w:eastAsia="Calibri" w:hAnsi="Arial" w:cs="Arial"/>
          <w:bCs/>
          <w:sz w:val="24"/>
          <w:szCs w:val="24"/>
        </w:rPr>
      </w:pPr>
      <w:r w:rsidRPr="00376913">
        <w:rPr>
          <w:rFonts w:ascii="Arial" w:eastAsia="Calibri" w:hAnsi="Arial" w:cs="Arial"/>
          <w:bCs/>
          <w:sz w:val="24"/>
          <w:szCs w:val="24"/>
        </w:rPr>
        <w:t xml:space="preserve">rispetto alle attese che si avevano di ripresa </w:t>
      </w:r>
      <w:r w:rsidRPr="00376913">
        <w:rPr>
          <w:rFonts w:ascii="Arial" w:eastAsia="Calibri" w:hAnsi="Arial" w:cs="Arial"/>
          <w:bCs/>
          <w:i/>
          <w:iCs/>
          <w:sz w:val="24"/>
          <w:szCs w:val="24"/>
        </w:rPr>
        <w:t>normale</w:t>
      </w:r>
      <w:r w:rsidRPr="00376913">
        <w:rPr>
          <w:rFonts w:ascii="Arial" w:eastAsia="Calibri" w:hAnsi="Arial" w:cs="Arial"/>
          <w:bCs/>
          <w:sz w:val="24"/>
          <w:szCs w:val="24"/>
        </w:rPr>
        <w:t xml:space="preserve"> del ciclo inflazionistico, e ordinato rialzo dei tassi e quindi:</w:t>
      </w:r>
    </w:p>
    <w:p w14:paraId="5499AFFE" w14:textId="77777777" w:rsidR="00376913" w:rsidRPr="00376913" w:rsidRDefault="00376913" w:rsidP="00376913">
      <w:pPr>
        <w:pStyle w:val="Paragrafoelenco"/>
        <w:numPr>
          <w:ilvl w:val="0"/>
          <w:numId w:val="4"/>
        </w:numPr>
        <w:spacing w:after="60"/>
        <w:jc w:val="both"/>
        <w:rPr>
          <w:rFonts w:ascii="Arial" w:eastAsia="Calibri" w:hAnsi="Arial" w:cs="Arial"/>
          <w:bCs/>
          <w:i/>
          <w:iCs/>
          <w:sz w:val="24"/>
          <w:szCs w:val="24"/>
        </w:rPr>
      </w:pPr>
      <w:r w:rsidRPr="00376913">
        <w:rPr>
          <w:rFonts w:ascii="Arial" w:eastAsia="Calibri" w:hAnsi="Arial" w:cs="Arial"/>
          <w:bCs/>
          <w:i/>
          <w:iCs/>
          <w:sz w:val="24"/>
          <w:szCs w:val="24"/>
        </w:rPr>
        <w:t>Perdite su posizioni obbligazionarie (aumento tassi e allargamento spread credito + default);</w:t>
      </w:r>
    </w:p>
    <w:p w14:paraId="270190D2" w14:textId="77777777" w:rsidR="00376913" w:rsidRPr="00376913" w:rsidRDefault="00376913" w:rsidP="00376913">
      <w:pPr>
        <w:pStyle w:val="Paragrafoelenco"/>
        <w:numPr>
          <w:ilvl w:val="0"/>
          <w:numId w:val="4"/>
        </w:numPr>
        <w:spacing w:after="60"/>
        <w:jc w:val="both"/>
        <w:rPr>
          <w:rFonts w:ascii="Arial" w:eastAsia="Calibri" w:hAnsi="Arial" w:cs="Arial"/>
          <w:bCs/>
          <w:i/>
          <w:iCs/>
          <w:sz w:val="24"/>
          <w:szCs w:val="24"/>
        </w:rPr>
      </w:pPr>
      <w:r w:rsidRPr="00376913">
        <w:rPr>
          <w:rFonts w:ascii="Arial" w:eastAsia="Calibri" w:hAnsi="Arial" w:cs="Arial"/>
          <w:bCs/>
          <w:i/>
          <w:iCs/>
          <w:sz w:val="24"/>
          <w:szCs w:val="24"/>
        </w:rPr>
        <w:t>Riduzione delle posizioni azionarie a leva con consolidamento successivo legato alla ripresa del ciclo;</w:t>
      </w:r>
    </w:p>
    <w:p w14:paraId="021D9133" w14:textId="77777777" w:rsidR="00376913" w:rsidRPr="00376913" w:rsidRDefault="00376913" w:rsidP="00376913">
      <w:pPr>
        <w:pStyle w:val="Paragrafoelenco"/>
        <w:numPr>
          <w:ilvl w:val="0"/>
          <w:numId w:val="4"/>
        </w:numPr>
        <w:spacing w:after="60"/>
        <w:jc w:val="both"/>
        <w:rPr>
          <w:rFonts w:ascii="Arial" w:eastAsia="Calibri" w:hAnsi="Arial" w:cs="Arial"/>
          <w:bCs/>
          <w:i/>
          <w:iCs/>
          <w:sz w:val="24"/>
          <w:szCs w:val="24"/>
        </w:rPr>
      </w:pPr>
      <w:r w:rsidRPr="00376913">
        <w:rPr>
          <w:rFonts w:ascii="Arial" w:eastAsia="Calibri" w:hAnsi="Arial" w:cs="Arial"/>
          <w:bCs/>
          <w:i/>
          <w:iCs/>
          <w:sz w:val="24"/>
          <w:szCs w:val="24"/>
        </w:rPr>
        <w:t>Tenuta private equity;</w:t>
      </w:r>
    </w:p>
    <w:p w14:paraId="4357FAE3" w14:textId="77777777" w:rsidR="00376913" w:rsidRPr="00376913" w:rsidRDefault="00376913" w:rsidP="00376913">
      <w:pPr>
        <w:pStyle w:val="Paragrafoelenco"/>
        <w:numPr>
          <w:ilvl w:val="0"/>
          <w:numId w:val="4"/>
        </w:numPr>
        <w:spacing w:after="60"/>
        <w:jc w:val="both"/>
        <w:rPr>
          <w:rFonts w:ascii="Arial" w:eastAsia="Calibri" w:hAnsi="Arial" w:cs="Arial"/>
          <w:bCs/>
          <w:i/>
          <w:iCs/>
          <w:sz w:val="24"/>
          <w:szCs w:val="24"/>
        </w:rPr>
      </w:pPr>
      <w:r w:rsidRPr="00376913">
        <w:rPr>
          <w:rFonts w:ascii="Arial" w:eastAsia="Calibri" w:hAnsi="Arial" w:cs="Arial"/>
          <w:bCs/>
          <w:i/>
          <w:iCs/>
          <w:sz w:val="24"/>
          <w:szCs w:val="24"/>
        </w:rPr>
        <w:t xml:space="preserve">Tenuta private </w:t>
      </w:r>
      <w:proofErr w:type="spellStart"/>
      <w:r w:rsidRPr="00376913">
        <w:rPr>
          <w:rFonts w:ascii="Arial" w:eastAsia="Calibri" w:hAnsi="Arial" w:cs="Arial"/>
          <w:bCs/>
          <w:i/>
          <w:iCs/>
          <w:sz w:val="24"/>
          <w:szCs w:val="24"/>
        </w:rPr>
        <w:t>debt</w:t>
      </w:r>
      <w:proofErr w:type="spellEnd"/>
      <w:r w:rsidRPr="00376913">
        <w:rPr>
          <w:rFonts w:ascii="Arial" w:eastAsia="Calibri" w:hAnsi="Arial" w:cs="Arial"/>
          <w:bCs/>
          <w:i/>
          <w:iCs/>
          <w:sz w:val="24"/>
          <w:szCs w:val="24"/>
        </w:rPr>
        <w:t xml:space="preserve"> (la maggior parte a tasso variabile, in crescita);</w:t>
      </w:r>
    </w:p>
    <w:p w14:paraId="2140BA80" w14:textId="77777777" w:rsidR="00376913" w:rsidRPr="00376913" w:rsidRDefault="00376913" w:rsidP="00376913">
      <w:pPr>
        <w:pStyle w:val="Paragrafoelenco"/>
        <w:numPr>
          <w:ilvl w:val="0"/>
          <w:numId w:val="4"/>
        </w:numPr>
        <w:spacing w:after="60"/>
        <w:jc w:val="both"/>
        <w:rPr>
          <w:rFonts w:ascii="Arial" w:eastAsia="Calibri" w:hAnsi="Arial" w:cs="Arial"/>
          <w:bCs/>
          <w:i/>
          <w:iCs/>
          <w:sz w:val="24"/>
          <w:szCs w:val="24"/>
        </w:rPr>
      </w:pPr>
      <w:r w:rsidRPr="00376913">
        <w:rPr>
          <w:rFonts w:ascii="Arial" w:eastAsia="Calibri" w:hAnsi="Arial" w:cs="Arial"/>
          <w:bCs/>
          <w:i/>
          <w:iCs/>
          <w:sz w:val="24"/>
          <w:szCs w:val="24"/>
        </w:rPr>
        <w:t>Consolidamento Real Estate (rotazione settoriale, aumento tassi di interesse, transizione energetica)</w:t>
      </w:r>
    </w:p>
    <w:p w14:paraId="4B3F776C" w14:textId="77777777" w:rsidR="00376913" w:rsidRPr="00376913" w:rsidRDefault="00376913" w:rsidP="00376913">
      <w:pPr>
        <w:pStyle w:val="Paragrafoelenco"/>
        <w:numPr>
          <w:ilvl w:val="0"/>
          <w:numId w:val="4"/>
        </w:numPr>
        <w:spacing w:after="60"/>
        <w:jc w:val="both"/>
        <w:rPr>
          <w:rFonts w:ascii="Arial" w:eastAsia="Calibri" w:hAnsi="Arial" w:cs="Arial"/>
          <w:bCs/>
          <w:i/>
          <w:iCs/>
          <w:sz w:val="24"/>
          <w:szCs w:val="24"/>
        </w:rPr>
      </w:pPr>
      <w:r w:rsidRPr="00376913">
        <w:rPr>
          <w:rFonts w:ascii="Arial" w:eastAsia="Calibri" w:hAnsi="Arial" w:cs="Arial"/>
          <w:bCs/>
          <w:i/>
          <w:iCs/>
          <w:sz w:val="24"/>
          <w:szCs w:val="24"/>
        </w:rPr>
        <w:t xml:space="preserve">Tenuta Infrastrutture; </w:t>
      </w:r>
      <w:proofErr w:type="spellStart"/>
      <w:r w:rsidRPr="00376913">
        <w:rPr>
          <w:rFonts w:ascii="Arial" w:eastAsia="Calibri" w:hAnsi="Arial" w:cs="Arial"/>
          <w:bCs/>
          <w:i/>
          <w:iCs/>
          <w:sz w:val="24"/>
          <w:szCs w:val="24"/>
        </w:rPr>
        <w:t>NextGeneration</w:t>
      </w:r>
      <w:proofErr w:type="spellEnd"/>
      <w:r w:rsidRPr="00376913">
        <w:rPr>
          <w:rFonts w:ascii="Arial" w:eastAsia="Calibri" w:hAnsi="Arial" w:cs="Arial"/>
          <w:bCs/>
          <w:i/>
          <w:iCs/>
          <w:sz w:val="24"/>
          <w:szCs w:val="24"/>
        </w:rPr>
        <w:t xml:space="preserve"> EU, </w:t>
      </w:r>
      <w:proofErr w:type="spellStart"/>
      <w:r w:rsidRPr="00376913">
        <w:rPr>
          <w:rFonts w:ascii="Arial" w:eastAsia="Calibri" w:hAnsi="Arial" w:cs="Arial"/>
          <w:bCs/>
          <w:i/>
          <w:iCs/>
          <w:sz w:val="24"/>
          <w:szCs w:val="24"/>
        </w:rPr>
        <w:t>Repower</w:t>
      </w:r>
      <w:proofErr w:type="spellEnd"/>
      <w:r w:rsidRPr="00376913">
        <w:rPr>
          <w:rFonts w:ascii="Arial" w:eastAsia="Calibri" w:hAnsi="Arial" w:cs="Arial"/>
          <w:bCs/>
          <w:i/>
          <w:iCs/>
          <w:sz w:val="24"/>
          <w:szCs w:val="24"/>
        </w:rPr>
        <w:t xml:space="preserve">, </w:t>
      </w:r>
      <w:proofErr w:type="spellStart"/>
      <w:r w:rsidRPr="00376913">
        <w:rPr>
          <w:rFonts w:ascii="Arial" w:eastAsia="Calibri" w:hAnsi="Arial" w:cs="Arial"/>
          <w:bCs/>
          <w:i/>
          <w:iCs/>
          <w:sz w:val="24"/>
          <w:szCs w:val="24"/>
        </w:rPr>
        <w:t>Pnrr</w:t>
      </w:r>
      <w:proofErr w:type="spellEnd"/>
      <w:r w:rsidRPr="00376913">
        <w:rPr>
          <w:rFonts w:ascii="Arial" w:eastAsia="Calibri" w:hAnsi="Arial" w:cs="Arial"/>
          <w:bCs/>
          <w:i/>
          <w:iCs/>
          <w:sz w:val="24"/>
          <w:szCs w:val="24"/>
        </w:rPr>
        <w:t xml:space="preserve"> e altri interventi (domanda sottostante in crescita secolare) </w:t>
      </w:r>
    </w:p>
    <w:p w14:paraId="5CD5498B" w14:textId="77777777" w:rsidR="00376913" w:rsidRPr="00376913" w:rsidRDefault="00376913" w:rsidP="00376913">
      <w:pPr>
        <w:spacing w:after="60"/>
        <w:ind w:left="360"/>
        <w:jc w:val="both"/>
        <w:rPr>
          <w:rFonts w:ascii="Arial" w:eastAsia="Calibri" w:hAnsi="Arial" w:cs="Arial"/>
          <w:bCs/>
          <w:szCs w:val="24"/>
        </w:rPr>
      </w:pPr>
      <w:proofErr w:type="gramStart"/>
      <w:r w:rsidRPr="00376913">
        <w:rPr>
          <w:rFonts w:ascii="Arial" w:eastAsia="Calibri" w:hAnsi="Arial" w:cs="Arial"/>
          <w:bCs/>
          <w:szCs w:val="24"/>
          <w:u w:val="single"/>
        </w:rPr>
        <w:t>….</w:t>
      </w:r>
      <w:proofErr w:type="gramEnd"/>
      <w:r w:rsidRPr="00376913">
        <w:rPr>
          <w:rFonts w:ascii="Arial" w:eastAsia="Calibri" w:hAnsi="Arial" w:cs="Arial"/>
          <w:bCs/>
          <w:szCs w:val="24"/>
          <w:u w:val="single"/>
        </w:rPr>
        <w:t xml:space="preserve">sono emerse forti criticità geopolitiche con la situazione </w:t>
      </w:r>
      <w:proofErr w:type="spellStart"/>
      <w:r w:rsidRPr="00376913">
        <w:rPr>
          <w:rFonts w:ascii="Arial" w:eastAsia="Calibri" w:hAnsi="Arial" w:cs="Arial"/>
          <w:bCs/>
          <w:szCs w:val="24"/>
          <w:u w:val="single"/>
        </w:rPr>
        <w:t>Ukraina</w:t>
      </w:r>
      <w:proofErr w:type="spellEnd"/>
      <w:r w:rsidRPr="00376913">
        <w:rPr>
          <w:rFonts w:ascii="Arial" w:eastAsia="Calibri" w:hAnsi="Arial" w:cs="Arial"/>
          <w:bCs/>
          <w:szCs w:val="24"/>
          <w:u w:val="single"/>
        </w:rPr>
        <w:t xml:space="preserve"> che hanno avuto come effetto</w:t>
      </w:r>
      <w:r w:rsidRPr="00376913">
        <w:rPr>
          <w:rFonts w:ascii="Arial" w:eastAsia="Calibri" w:hAnsi="Arial" w:cs="Arial"/>
          <w:bCs/>
          <w:szCs w:val="24"/>
        </w:rPr>
        <w:t>:</w:t>
      </w:r>
    </w:p>
    <w:p w14:paraId="7D733521" w14:textId="77777777" w:rsidR="00376913" w:rsidRPr="00376913" w:rsidRDefault="00376913" w:rsidP="00376913">
      <w:pPr>
        <w:pStyle w:val="Paragrafoelenco"/>
        <w:numPr>
          <w:ilvl w:val="0"/>
          <w:numId w:val="5"/>
        </w:numPr>
        <w:spacing w:after="60"/>
        <w:jc w:val="both"/>
        <w:rPr>
          <w:rFonts w:ascii="Arial" w:eastAsia="Calibri" w:hAnsi="Arial" w:cs="Arial"/>
          <w:bCs/>
          <w:sz w:val="24"/>
          <w:szCs w:val="24"/>
        </w:rPr>
      </w:pPr>
      <w:r w:rsidRPr="00376913">
        <w:rPr>
          <w:rFonts w:ascii="Arial" w:eastAsia="Calibri" w:hAnsi="Arial" w:cs="Arial"/>
          <w:bCs/>
          <w:i/>
          <w:iCs/>
          <w:sz w:val="24"/>
          <w:szCs w:val="24"/>
        </w:rPr>
        <w:t>Shock</w:t>
      </w:r>
      <w:r w:rsidRPr="00376913">
        <w:rPr>
          <w:rFonts w:ascii="Arial" w:eastAsia="Calibri" w:hAnsi="Arial" w:cs="Arial"/>
          <w:bCs/>
          <w:sz w:val="24"/>
          <w:szCs w:val="24"/>
        </w:rPr>
        <w:t xml:space="preserve"> energetico </w:t>
      </w:r>
    </w:p>
    <w:p w14:paraId="47CA38CF" w14:textId="77777777" w:rsidR="00376913" w:rsidRPr="00376913" w:rsidRDefault="00376913" w:rsidP="00376913">
      <w:pPr>
        <w:pStyle w:val="Paragrafoelenco"/>
        <w:numPr>
          <w:ilvl w:val="0"/>
          <w:numId w:val="5"/>
        </w:numPr>
        <w:spacing w:after="60"/>
        <w:jc w:val="both"/>
        <w:rPr>
          <w:rFonts w:ascii="Arial" w:eastAsia="Calibri" w:hAnsi="Arial" w:cs="Arial"/>
          <w:bCs/>
          <w:sz w:val="24"/>
          <w:szCs w:val="24"/>
        </w:rPr>
      </w:pPr>
      <w:r w:rsidRPr="00376913">
        <w:rPr>
          <w:rFonts w:ascii="Arial" w:eastAsia="Calibri" w:hAnsi="Arial" w:cs="Arial"/>
          <w:bCs/>
          <w:sz w:val="24"/>
          <w:szCs w:val="24"/>
        </w:rPr>
        <w:t xml:space="preserve">Interruzione catene di fornitura/commercio internazionale  </w:t>
      </w:r>
    </w:p>
    <w:p w14:paraId="33F246ED" w14:textId="77777777" w:rsidR="00376913" w:rsidRPr="00376913" w:rsidRDefault="00376913" w:rsidP="00376913">
      <w:pPr>
        <w:pStyle w:val="Paragrafoelenco"/>
        <w:numPr>
          <w:ilvl w:val="0"/>
          <w:numId w:val="5"/>
        </w:numPr>
        <w:spacing w:after="60"/>
        <w:jc w:val="both"/>
        <w:rPr>
          <w:rFonts w:ascii="Arial" w:eastAsia="Calibri" w:hAnsi="Arial" w:cs="Arial"/>
          <w:bCs/>
          <w:sz w:val="24"/>
          <w:szCs w:val="24"/>
        </w:rPr>
      </w:pPr>
      <w:r w:rsidRPr="00376913">
        <w:rPr>
          <w:rFonts w:ascii="Arial" w:eastAsia="Calibri" w:hAnsi="Arial" w:cs="Arial"/>
          <w:bCs/>
          <w:sz w:val="24"/>
          <w:szCs w:val="24"/>
        </w:rPr>
        <w:t>Altri fattori di carattere sociale/relazioni politiche</w:t>
      </w:r>
    </w:p>
    <w:p w14:paraId="7097B0E3" w14:textId="77777777" w:rsidR="00376913" w:rsidRPr="00376913" w:rsidRDefault="00376913" w:rsidP="00376913">
      <w:pPr>
        <w:spacing w:after="60" w:line="276" w:lineRule="auto"/>
        <w:ind w:left="360"/>
        <w:jc w:val="both"/>
        <w:rPr>
          <w:rFonts w:ascii="Arial" w:eastAsia="Calibri" w:hAnsi="Arial" w:cs="Arial"/>
          <w:bCs/>
          <w:szCs w:val="24"/>
        </w:rPr>
      </w:pPr>
      <w:r w:rsidRPr="00376913">
        <w:rPr>
          <w:rFonts w:ascii="Arial" w:eastAsia="Calibri" w:hAnsi="Arial" w:cs="Arial"/>
          <w:bCs/>
          <w:szCs w:val="24"/>
        </w:rPr>
        <w:t xml:space="preserve">che hanno </w:t>
      </w:r>
      <w:r w:rsidRPr="00376913">
        <w:rPr>
          <w:rFonts w:ascii="Arial" w:eastAsia="Calibri" w:hAnsi="Arial" w:cs="Arial"/>
          <w:bCs/>
          <w:i/>
          <w:iCs/>
          <w:szCs w:val="24"/>
          <w:u w:val="single"/>
        </w:rPr>
        <w:t>stressato il ciclo inflazionistico fuori misura</w:t>
      </w:r>
      <w:r w:rsidRPr="00376913">
        <w:rPr>
          <w:rFonts w:ascii="Arial" w:eastAsia="Calibri" w:hAnsi="Arial" w:cs="Arial"/>
          <w:bCs/>
          <w:szCs w:val="24"/>
        </w:rPr>
        <w:t>: questo ha portato ad attese/retorica aggressiva delle Banche Centrali (che i mercati hanno comunque anticipato) che hanno alzato i tassi in maniera molto aggressiva e spinto il mercato a vendere portando le curve di rendimento a livelli mai visti da decenni.</w:t>
      </w:r>
    </w:p>
    <w:p w14:paraId="0669D68D" w14:textId="77777777" w:rsidR="00376913" w:rsidRPr="00376913" w:rsidRDefault="00376913" w:rsidP="00376913">
      <w:pPr>
        <w:spacing w:after="60" w:line="276" w:lineRule="auto"/>
        <w:ind w:left="360"/>
        <w:jc w:val="both"/>
        <w:rPr>
          <w:rFonts w:ascii="Arial" w:eastAsia="Calibri" w:hAnsi="Arial" w:cs="Arial"/>
          <w:bCs/>
          <w:szCs w:val="24"/>
        </w:rPr>
      </w:pPr>
      <w:r w:rsidRPr="00376913">
        <w:rPr>
          <w:rFonts w:ascii="Arial" w:eastAsia="Calibri" w:hAnsi="Arial" w:cs="Arial"/>
          <w:bCs/>
          <w:szCs w:val="24"/>
        </w:rPr>
        <w:lastRenderedPageBreak/>
        <w:t xml:space="preserve">La politica monetaria deve contrastare l’inflazione per evitare surriscaldamento del ciclo ed in ultima analisi perdita di potere d’acquisto ed impoverimento sociale; la maggiore aggressività è data dal fatto che l’inflazione è cresciuta molto più di quanto ci si attendesse, a duplice causa: </w:t>
      </w:r>
      <w:r w:rsidRPr="00376913">
        <w:rPr>
          <w:rFonts w:ascii="Arial" w:eastAsia="Calibri" w:hAnsi="Arial" w:cs="Arial"/>
          <w:bCs/>
          <w:i/>
          <w:iCs/>
          <w:szCs w:val="24"/>
        </w:rPr>
        <w:t>shock</w:t>
      </w:r>
      <w:r w:rsidRPr="00376913">
        <w:rPr>
          <w:rFonts w:ascii="Arial" w:eastAsia="Calibri" w:hAnsi="Arial" w:cs="Arial"/>
          <w:bCs/>
          <w:szCs w:val="24"/>
        </w:rPr>
        <w:t xml:space="preserve"> energetico (soprattutto Europa) ed inceppamento delle catene di fornitura (soprattutto USA dove la domanda è più forte e l’offerta minore). Gli effetti della politica monetaria e la negativa confidenza (domanda, produzione) </w:t>
      </w:r>
      <w:r w:rsidRPr="00376913">
        <w:rPr>
          <w:rFonts w:ascii="Arial" w:eastAsia="Calibri" w:hAnsi="Arial" w:cs="Arial"/>
          <w:b/>
          <w:i/>
          <w:iCs/>
          <w:szCs w:val="24"/>
        </w:rPr>
        <w:t>hanno amplificato i movimenti attesi sui mercati</w:t>
      </w:r>
      <w:r w:rsidRPr="00376913">
        <w:rPr>
          <w:rFonts w:ascii="Arial" w:eastAsia="Calibri" w:hAnsi="Arial" w:cs="Arial"/>
          <w:bCs/>
          <w:szCs w:val="24"/>
        </w:rPr>
        <w:t xml:space="preserve"> dove:</w:t>
      </w:r>
    </w:p>
    <w:p w14:paraId="255889DC" w14:textId="77777777" w:rsidR="00376913" w:rsidRPr="00376913" w:rsidRDefault="00376913" w:rsidP="00376913">
      <w:pPr>
        <w:pStyle w:val="Paragrafoelenco"/>
        <w:numPr>
          <w:ilvl w:val="0"/>
          <w:numId w:val="6"/>
        </w:numPr>
        <w:spacing w:after="60"/>
        <w:jc w:val="both"/>
        <w:rPr>
          <w:rFonts w:ascii="Arial" w:eastAsia="Calibri" w:hAnsi="Arial" w:cs="Arial"/>
          <w:bCs/>
          <w:i/>
          <w:iCs/>
          <w:sz w:val="24"/>
          <w:szCs w:val="24"/>
        </w:rPr>
      </w:pPr>
      <w:r w:rsidRPr="00376913">
        <w:rPr>
          <w:rFonts w:ascii="Arial" w:eastAsia="Calibri" w:hAnsi="Arial" w:cs="Arial"/>
          <w:bCs/>
          <w:i/>
          <w:iCs/>
          <w:sz w:val="24"/>
          <w:szCs w:val="24"/>
        </w:rPr>
        <w:t>Perdite obbligazionarie record;</w:t>
      </w:r>
    </w:p>
    <w:p w14:paraId="50AD7DF5" w14:textId="77777777" w:rsidR="00376913" w:rsidRPr="00376913" w:rsidRDefault="00376913" w:rsidP="00376913">
      <w:pPr>
        <w:pStyle w:val="Paragrafoelenco"/>
        <w:numPr>
          <w:ilvl w:val="0"/>
          <w:numId w:val="6"/>
        </w:numPr>
        <w:spacing w:after="60"/>
        <w:jc w:val="both"/>
        <w:rPr>
          <w:rFonts w:ascii="Arial" w:eastAsia="Calibri" w:hAnsi="Arial" w:cs="Arial"/>
          <w:bCs/>
          <w:i/>
          <w:iCs/>
          <w:sz w:val="24"/>
          <w:szCs w:val="24"/>
        </w:rPr>
      </w:pPr>
      <w:r w:rsidRPr="00376913">
        <w:rPr>
          <w:rFonts w:ascii="Arial" w:eastAsia="Calibri" w:hAnsi="Arial" w:cs="Arial"/>
          <w:bCs/>
          <w:i/>
          <w:iCs/>
          <w:sz w:val="24"/>
          <w:szCs w:val="24"/>
        </w:rPr>
        <w:t>Perdite azionarie record (tassi più alti, attese di minori profitti);</w:t>
      </w:r>
    </w:p>
    <w:p w14:paraId="2AC61352" w14:textId="77777777" w:rsidR="00376913" w:rsidRPr="00376913" w:rsidRDefault="00376913" w:rsidP="00376913">
      <w:pPr>
        <w:pStyle w:val="Paragrafoelenco"/>
        <w:numPr>
          <w:ilvl w:val="0"/>
          <w:numId w:val="6"/>
        </w:numPr>
        <w:spacing w:after="60"/>
        <w:jc w:val="both"/>
        <w:rPr>
          <w:rFonts w:ascii="Arial" w:eastAsia="Calibri" w:hAnsi="Arial" w:cs="Arial"/>
          <w:bCs/>
          <w:i/>
          <w:iCs/>
          <w:sz w:val="24"/>
          <w:szCs w:val="24"/>
        </w:rPr>
      </w:pPr>
      <w:r w:rsidRPr="00376913">
        <w:rPr>
          <w:rFonts w:ascii="Arial" w:eastAsia="Calibri" w:hAnsi="Arial" w:cs="Arial"/>
          <w:bCs/>
          <w:i/>
          <w:iCs/>
          <w:sz w:val="24"/>
          <w:szCs w:val="24"/>
        </w:rPr>
        <w:t>Tenuta private equity (ma ci attendiamo una flessione figlia della dinamica azionaria);</w:t>
      </w:r>
    </w:p>
    <w:p w14:paraId="0BDFF92C" w14:textId="77777777" w:rsidR="00376913" w:rsidRPr="00376913" w:rsidRDefault="00376913" w:rsidP="00376913">
      <w:pPr>
        <w:pStyle w:val="Paragrafoelenco"/>
        <w:numPr>
          <w:ilvl w:val="0"/>
          <w:numId w:val="6"/>
        </w:numPr>
        <w:spacing w:after="60"/>
        <w:jc w:val="both"/>
        <w:rPr>
          <w:rFonts w:ascii="Arial" w:eastAsia="Calibri" w:hAnsi="Arial" w:cs="Arial"/>
          <w:bCs/>
          <w:i/>
          <w:iCs/>
          <w:sz w:val="24"/>
          <w:szCs w:val="24"/>
        </w:rPr>
      </w:pPr>
      <w:r w:rsidRPr="00376913">
        <w:rPr>
          <w:rFonts w:ascii="Arial" w:eastAsia="Calibri" w:hAnsi="Arial" w:cs="Arial"/>
          <w:bCs/>
          <w:i/>
          <w:iCs/>
          <w:sz w:val="24"/>
          <w:szCs w:val="24"/>
        </w:rPr>
        <w:t xml:space="preserve">Tenuta private </w:t>
      </w:r>
      <w:proofErr w:type="spellStart"/>
      <w:r w:rsidRPr="00376913">
        <w:rPr>
          <w:rFonts w:ascii="Arial" w:eastAsia="Calibri" w:hAnsi="Arial" w:cs="Arial"/>
          <w:bCs/>
          <w:i/>
          <w:iCs/>
          <w:sz w:val="24"/>
          <w:szCs w:val="24"/>
        </w:rPr>
        <w:t>debt</w:t>
      </w:r>
      <w:proofErr w:type="spellEnd"/>
      <w:r w:rsidRPr="00376913">
        <w:rPr>
          <w:rFonts w:ascii="Arial" w:eastAsia="Calibri" w:hAnsi="Arial" w:cs="Arial"/>
          <w:bCs/>
          <w:i/>
          <w:iCs/>
          <w:sz w:val="24"/>
          <w:szCs w:val="24"/>
        </w:rPr>
        <w:t xml:space="preserve"> (ma notiamo aumento nei rischi di credito);</w:t>
      </w:r>
    </w:p>
    <w:p w14:paraId="2979178D" w14:textId="77777777" w:rsidR="00376913" w:rsidRPr="00376913" w:rsidRDefault="00376913" w:rsidP="00376913">
      <w:pPr>
        <w:pStyle w:val="Paragrafoelenco"/>
        <w:numPr>
          <w:ilvl w:val="0"/>
          <w:numId w:val="6"/>
        </w:numPr>
        <w:spacing w:after="60"/>
        <w:jc w:val="both"/>
        <w:rPr>
          <w:rFonts w:ascii="Arial" w:eastAsia="Calibri" w:hAnsi="Arial" w:cs="Arial"/>
          <w:bCs/>
          <w:i/>
          <w:iCs/>
          <w:sz w:val="24"/>
          <w:szCs w:val="24"/>
        </w:rPr>
      </w:pPr>
      <w:r w:rsidRPr="00376913">
        <w:rPr>
          <w:rFonts w:ascii="Arial" w:eastAsia="Calibri" w:hAnsi="Arial" w:cs="Arial"/>
          <w:bCs/>
          <w:i/>
          <w:iCs/>
          <w:sz w:val="24"/>
          <w:szCs w:val="24"/>
        </w:rPr>
        <w:t>Consolidamento Real Estate (negli USA si nota un mercato in contrazione sulla parte ‘bassa’ dati i maggiori costi dei mutui; si attende di vedere come verranno inglobati nelle analisi le variazioni di crescita dei tassi e l’impatto nelle variazioni dei differenziali di rendimento);</w:t>
      </w:r>
    </w:p>
    <w:p w14:paraId="25894BA6" w14:textId="77777777" w:rsidR="00376913" w:rsidRPr="00376913" w:rsidRDefault="00376913" w:rsidP="00376913">
      <w:pPr>
        <w:pStyle w:val="Paragrafoelenco"/>
        <w:numPr>
          <w:ilvl w:val="0"/>
          <w:numId w:val="6"/>
        </w:numPr>
        <w:spacing w:after="60"/>
        <w:jc w:val="both"/>
        <w:rPr>
          <w:rFonts w:ascii="Arial" w:eastAsia="Calibri" w:hAnsi="Arial" w:cs="Arial"/>
          <w:bCs/>
          <w:i/>
          <w:iCs/>
          <w:sz w:val="24"/>
          <w:szCs w:val="24"/>
        </w:rPr>
      </w:pPr>
      <w:r w:rsidRPr="00376913">
        <w:rPr>
          <w:rFonts w:ascii="Arial" w:eastAsia="Calibri" w:hAnsi="Arial" w:cs="Arial"/>
          <w:bCs/>
          <w:i/>
          <w:iCs/>
          <w:sz w:val="24"/>
          <w:szCs w:val="24"/>
        </w:rPr>
        <w:t>Tenuta Infrastrutture: i conti economici delle partecipate mostrano stabilità dei flussi (con compensazioni tra energivori e produttori).</w:t>
      </w:r>
    </w:p>
    <w:p w14:paraId="1F27E777" w14:textId="77777777" w:rsidR="00376913" w:rsidRPr="00376913" w:rsidRDefault="00376913" w:rsidP="00376913">
      <w:pPr>
        <w:spacing w:after="60"/>
        <w:jc w:val="both"/>
        <w:rPr>
          <w:rFonts w:ascii="Arial" w:eastAsia="Calibri" w:hAnsi="Arial" w:cs="Arial"/>
          <w:bCs/>
          <w:szCs w:val="24"/>
        </w:rPr>
      </w:pPr>
    </w:p>
    <w:p w14:paraId="58E770A2" w14:textId="77777777" w:rsidR="00376913" w:rsidRPr="00376913" w:rsidRDefault="00376913" w:rsidP="00376913">
      <w:pPr>
        <w:spacing w:after="60"/>
        <w:jc w:val="both"/>
        <w:rPr>
          <w:rFonts w:ascii="Arial" w:eastAsia="Calibri" w:hAnsi="Arial" w:cs="Arial"/>
          <w:bCs/>
          <w:szCs w:val="24"/>
        </w:rPr>
      </w:pPr>
      <w:r w:rsidRPr="00376913">
        <w:rPr>
          <w:rFonts w:ascii="Arial" w:eastAsia="Calibri" w:hAnsi="Arial" w:cs="Arial"/>
          <w:bCs/>
          <w:szCs w:val="24"/>
        </w:rPr>
        <w:t>In base all’analisi dei movimenti di mercato e delle dinamiche di rischio e geopolitiche al momento si nota:</w:t>
      </w:r>
    </w:p>
    <w:p w14:paraId="41D8DDBA" w14:textId="77777777" w:rsidR="00376913" w:rsidRPr="00376913" w:rsidRDefault="00376913" w:rsidP="00376913">
      <w:pPr>
        <w:spacing w:after="60"/>
        <w:jc w:val="both"/>
        <w:rPr>
          <w:rFonts w:ascii="Arial" w:eastAsia="Calibri" w:hAnsi="Arial" w:cs="Arial"/>
          <w:bCs/>
          <w:szCs w:val="24"/>
        </w:rPr>
      </w:pPr>
    </w:p>
    <w:p w14:paraId="37BF1179" w14:textId="77777777" w:rsidR="00376913" w:rsidRPr="00376913" w:rsidRDefault="00376913" w:rsidP="00376913">
      <w:pPr>
        <w:pStyle w:val="Paragrafoelenco"/>
        <w:numPr>
          <w:ilvl w:val="0"/>
          <w:numId w:val="7"/>
        </w:numPr>
        <w:spacing w:after="60"/>
        <w:jc w:val="both"/>
        <w:rPr>
          <w:rFonts w:ascii="Arial" w:eastAsia="Calibri" w:hAnsi="Arial" w:cs="Arial"/>
          <w:bCs/>
          <w:sz w:val="24"/>
          <w:szCs w:val="24"/>
        </w:rPr>
      </w:pPr>
      <w:r w:rsidRPr="00376913">
        <w:rPr>
          <w:rFonts w:ascii="Arial" w:eastAsia="Calibri" w:hAnsi="Arial" w:cs="Arial"/>
          <w:bCs/>
          <w:i/>
          <w:iCs/>
          <w:sz w:val="24"/>
          <w:szCs w:val="24"/>
          <w:u w:val="single"/>
        </w:rPr>
        <w:t>Rientro parametri inflazionistici USA</w:t>
      </w:r>
      <w:r w:rsidRPr="00376913">
        <w:rPr>
          <w:rFonts w:ascii="Arial" w:eastAsia="Calibri" w:hAnsi="Arial" w:cs="Arial"/>
          <w:bCs/>
          <w:sz w:val="24"/>
          <w:szCs w:val="24"/>
        </w:rPr>
        <w:t xml:space="preserve">: FED in abbrivio sul ciclo di rialzo, che si stima terminerà nel primo 2023. I rialzi mirano a creare recessione, quindi attenuazione del ciclo, per cui la FED è disposta anche a sopportare un aumento della disoccupazione (ad oggi ancora molto bassa); </w:t>
      </w:r>
      <w:r w:rsidRPr="00376913">
        <w:rPr>
          <w:rFonts w:ascii="Arial" w:eastAsia="Calibri" w:hAnsi="Arial" w:cs="Arial"/>
          <w:bCs/>
          <w:sz w:val="24"/>
          <w:szCs w:val="24"/>
          <w:u w:val="single"/>
        </w:rPr>
        <w:t>tassi di rendimento in range 4-5%</w:t>
      </w:r>
      <w:r w:rsidRPr="00376913">
        <w:rPr>
          <w:rFonts w:ascii="Arial" w:eastAsia="Calibri" w:hAnsi="Arial" w:cs="Arial"/>
          <w:bCs/>
          <w:sz w:val="24"/>
          <w:szCs w:val="24"/>
        </w:rPr>
        <w:t xml:space="preserve">, volatilità in graduale remissione. </w:t>
      </w:r>
    </w:p>
    <w:p w14:paraId="380E0DD3" w14:textId="77777777" w:rsidR="00376913" w:rsidRPr="00376913" w:rsidRDefault="00376913" w:rsidP="00376913">
      <w:pPr>
        <w:pStyle w:val="Paragrafoelenco"/>
        <w:spacing w:after="60"/>
        <w:jc w:val="both"/>
        <w:rPr>
          <w:rFonts w:ascii="Arial" w:eastAsia="Calibri" w:hAnsi="Arial" w:cs="Arial"/>
          <w:bCs/>
          <w:sz w:val="24"/>
          <w:szCs w:val="24"/>
        </w:rPr>
      </w:pPr>
      <w:r w:rsidRPr="00376913">
        <w:rPr>
          <w:rFonts w:ascii="Arial" w:eastAsia="Calibri" w:hAnsi="Arial" w:cs="Arial"/>
          <w:bCs/>
          <w:i/>
          <w:iCs/>
          <w:sz w:val="24"/>
          <w:szCs w:val="24"/>
          <w:u w:val="single"/>
        </w:rPr>
        <w:t>Catene di fornitura più efficienti</w:t>
      </w:r>
      <w:r w:rsidRPr="00376913">
        <w:rPr>
          <w:rFonts w:ascii="Arial" w:eastAsia="Calibri" w:hAnsi="Arial" w:cs="Arial"/>
          <w:bCs/>
          <w:sz w:val="24"/>
          <w:szCs w:val="24"/>
        </w:rPr>
        <w:t xml:space="preserve">, domanda più forte di quella europea. Crisi strutturale del Tech (licenziamenti e andamenti azionari peggiori) maggiore stabilità delle strategie </w:t>
      </w:r>
      <w:r w:rsidRPr="00376913">
        <w:rPr>
          <w:rFonts w:ascii="Arial" w:eastAsia="Calibri" w:hAnsi="Arial" w:cs="Arial"/>
          <w:bCs/>
          <w:i/>
          <w:iCs/>
          <w:sz w:val="24"/>
          <w:szCs w:val="24"/>
        </w:rPr>
        <w:t>Value</w:t>
      </w:r>
      <w:r w:rsidRPr="00376913">
        <w:rPr>
          <w:rFonts w:ascii="Arial" w:eastAsia="Calibri" w:hAnsi="Arial" w:cs="Arial"/>
          <w:bCs/>
          <w:sz w:val="24"/>
          <w:szCs w:val="24"/>
        </w:rPr>
        <w:t xml:space="preserve"> (</w:t>
      </w:r>
      <w:proofErr w:type="spellStart"/>
      <w:r w:rsidRPr="00376913">
        <w:rPr>
          <w:rFonts w:ascii="Arial" w:eastAsia="Calibri" w:hAnsi="Arial" w:cs="Arial"/>
          <w:bCs/>
          <w:sz w:val="24"/>
          <w:szCs w:val="24"/>
        </w:rPr>
        <w:t>Old</w:t>
      </w:r>
      <w:proofErr w:type="spellEnd"/>
      <w:r w:rsidRPr="00376913">
        <w:rPr>
          <w:rFonts w:ascii="Arial" w:eastAsia="Calibri" w:hAnsi="Arial" w:cs="Arial"/>
          <w:bCs/>
          <w:sz w:val="24"/>
          <w:szCs w:val="24"/>
        </w:rPr>
        <w:t xml:space="preserve"> Economy);</w:t>
      </w:r>
    </w:p>
    <w:p w14:paraId="0E351A58" w14:textId="77777777" w:rsidR="00376913" w:rsidRPr="00376913" w:rsidRDefault="00376913" w:rsidP="00376913">
      <w:pPr>
        <w:pStyle w:val="Paragrafoelenco"/>
        <w:numPr>
          <w:ilvl w:val="0"/>
          <w:numId w:val="7"/>
        </w:numPr>
        <w:spacing w:after="60"/>
        <w:jc w:val="both"/>
        <w:rPr>
          <w:rFonts w:ascii="Arial" w:eastAsia="Calibri" w:hAnsi="Arial" w:cs="Arial"/>
          <w:bCs/>
          <w:sz w:val="24"/>
          <w:szCs w:val="24"/>
        </w:rPr>
      </w:pPr>
      <w:r w:rsidRPr="00376913">
        <w:rPr>
          <w:rFonts w:ascii="Arial" w:eastAsia="Calibri" w:hAnsi="Arial" w:cs="Arial"/>
          <w:bCs/>
          <w:i/>
          <w:iCs/>
          <w:sz w:val="24"/>
          <w:szCs w:val="24"/>
          <w:u w:val="single"/>
        </w:rPr>
        <w:t>Picco europeo dell’inflazione</w:t>
      </w:r>
      <w:r w:rsidRPr="00376913">
        <w:rPr>
          <w:rFonts w:ascii="Arial" w:eastAsia="Calibri" w:hAnsi="Arial" w:cs="Arial"/>
          <w:bCs/>
          <w:sz w:val="24"/>
          <w:szCs w:val="24"/>
        </w:rPr>
        <w:t xml:space="preserve"> (Germania e Italia i paesi che soffrono di più: la Germania ha stanziato molti più aiuti governativi rispetto all’Italia, avendo un debito pubblico molto più basso). Tassi ancora in crescita, volatilità ancora elevata. Stoccaggio energetico sembra funzionare quindi non dovrebbero esserci ulteriori shock energetici: discussioni sui </w:t>
      </w:r>
      <w:r w:rsidRPr="00376913">
        <w:rPr>
          <w:rFonts w:ascii="Arial" w:eastAsia="Calibri" w:hAnsi="Arial" w:cs="Arial"/>
          <w:bCs/>
          <w:i/>
          <w:iCs/>
          <w:sz w:val="24"/>
          <w:szCs w:val="24"/>
        </w:rPr>
        <w:t xml:space="preserve">price </w:t>
      </w:r>
      <w:proofErr w:type="spellStart"/>
      <w:r w:rsidRPr="00376913">
        <w:rPr>
          <w:rFonts w:ascii="Arial" w:eastAsia="Calibri" w:hAnsi="Arial" w:cs="Arial"/>
          <w:bCs/>
          <w:i/>
          <w:iCs/>
          <w:sz w:val="24"/>
          <w:szCs w:val="24"/>
        </w:rPr>
        <w:t>cap</w:t>
      </w:r>
      <w:proofErr w:type="spellEnd"/>
      <w:r w:rsidRPr="00376913">
        <w:rPr>
          <w:rFonts w:ascii="Arial" w:eastAsia="Calibri" w:hAnsi="Arial" w:cs="Arial"/>
          <w:bCs/>
          <w:sz w:val="24"/>
          <w:szCs w:val="24"/>
        </w:rPr>
        <w:t xml:space="preserve"> ancora accese sia su petrolio che gas. Italia performa meglio degli altri paesi, ma è potenzialmente sotto ‘scacco’ per un debito altissimo: le dinamiche economiche la avvicinano di più alla Germania (debito a parte): sono i due paesi con bilancia commerciale positiva (export) e scarsa autosufficienza energetica. La Germania è più legata alla Cina sui flussi commerciali, noi agli USA. </w:t>
      </w:r>
    </w:p>
    <w:p w14:paraId="26404869" w14:textId="77777777" w:rsidR="00376913" w:rsidRPr="00376913" w:rsidRDefault="00376913" w:rsidP="00376913">
      <w:pPr>
        <w:pStyle w:val="Paragrafoelenco"/>
        <w:spacing w:after="60"/>
        <w:jc w:val="both"/>
        <w:rPr>
          <w:rFonts w:ascii="Arial" w:eastAsia="Calibri" w:hAnsi="Arial" w:cs="Arial"/>
          <w:bCs/>
          <w:sz w:val="24"/>
          <w:szCs w:val="24"/>
        </w:rPr>
      </w:pPr>
      <w:r w:rsidRPr="00376913">
        <w:rPr>
          <w:rFonts w:ascii="Arial" w:eastAsia="Calibri" w:hAnsi="Arial" w:cs="Arial"/>
          <w:bCs/>
          <w:sz w:val="24"/>
          <w:szCs w:val="24"/>
        </w:rPr>
        <w:t xml:space="preserve">In attesa di risoluzioni comuni sulle regolamentazioni energetiche, politiche di accoglienza etc. la discriminante in Europa è legata agli investimenti strutturali collegati alla crescita. </w:t>
      </w:r>
    </w:p>
    <w:p w14:paraId="0B269E98" w14:textId="77777777" w:rsidR="00376913" w:rsidRPr="00376913" w:rsidRDefault="00376913" w:rsidP="00376913">
      <w:pPr>
        <w:pStyle w:val="Paragrafoelenco"/>
        <w:spacing w:after="60"/>
        <w:jc w:val="both"/>
        <w:rPr>
          <w:rFonts w:ascii="Arial" w:eastAsia="Calibri" w:hAnsi="Arial" w:cs="Arial"/>
          <w:bCs/>
          <w:sz w:val="24"/>
          <w:szCs w:val="24"/>
        </w:rPr>
      </w:pPr>
    </w:p>
    <w:p w14:paraId="639ED468" w14:textId="77777777" w:rsidR="00376913" w:rsidRPr="00376913" w:rsidRDefault="00376913" w:rsidP="00376913">
      <w:pPr>
        <w:pStyle w:val="Paragrafoelenco"/>
        <w:spacing w:after="60"/>
        <w:ind w:left="360"/>
        <w:jc w:val="both"/>
        <w:rPr>
          <w:rFonts w:ascii="Arial" w:eastAsia="Calibri" w:hAnsi="Arial" w:cs="Arial"/>
          <w:bCs/>
          <w:sz w:val="24"/>
          <w:szCs w:val="24"/>
        </w:rPr>
      </w:pPr>
      <w:r w:rsidRPr="00376913">
        <w:rPr>
          <w:rFonts w:ascii="Arial" w:eastAsia="Calibri" w:hAnsi="Arial" w:cs="Arial"/>
          <w:b/>
          <w:sz w:val="24"/>
          <w:szCs w:val="24"/>
        </w:rPr>
        <w:t>Fattori dominanti scenario attuale (RESET)</w:t>
      </w:r>
      <w:r w:rsidRPr="00376913">
        <w:rPr>
          <w:rFonts w:ascii="Arial" w:eastAsia="Calibri" w:hAnsi="Arial" w:cs="Arial"/>
          <w:bCs/>
          <w:sz w:val="24"/>
          <w:szCs w:val="24"/>
        </w:rPr>
        <w:t>:</w:t>
      </w:r>
    </w:p>
    <w:p w14:paraId="5F47738B" w14:textId="77777777" w:rsidR="00376913" w:rsidRPr="00376913" w:rsidRDefault="00376913" w:rsidP="00376913">
      <w:pPr>
        <w:pStyle w:val="Paragrafoelenco"/>
        <w:numPr>
          <w:ilvl w:val="0"/>
          <w:numId w:val="9"/>
        </w:numPr>
        <w:spacing w:after="60"/>
        <w:jc w:val="both"/>
        <w:rPr>
          <w:rFonts w:ascii="Arial" w:eastAsia="Calibri" w:hAnsi="Arial" w:cs="Arial"/>
          <w:bCs/>
          <w:sz w:val="24"/>
          <w:szCs w:val="24"/>
        </w:rPr>
      </w:pPr>
      <w:r w:rsidRPr="00376913">
        <w:rPr>
          <w:rFonts w:ascii="Arial" w:eastAsia="Calibri" w:hAnsi="Arial" w:cs="Arial"/>
          <w:bCs/>
          <w:sz w:val="24"/>
          <w:szCs w:val="24"/>
          <w:u w:val="single"/>
        </w:rPr>
        <w:lastRenderedPageBreak/>
        <w:t>Alti tassi di interesse</w:t>
      </w:r>
      <w:r w:rsidRPr="00376913">
        <w:rPr>
          <w:rFonts w:ascii="Arial" w:eastAsia="Calibri" w:hAnsi="Arial" w:cs="Arial"/>
          <w:bCs/>
          <w:sz w:val="24"/>
          <w:szCs w:val="24"/>
        </w:rPr>
        <w:t xml:space="preserve">: </w:t>
      </w:r>
      <w:r w:rsidRPr="00376913">
        <w:rPr>
          <w:rFonts w:ascii="Arial" w:eastAsia="Calibri" w:hAnsi="Arial" w:cs="Arial"/>
          <w:bCs/>
          <w:i/>
          <w:iCs/>
          <w:sz w:val="24"/>
          <w:szCs w:val="24"/>
        </w:rPr>
        <w:t xml:space="preserve">reset del mercato </w:t>
      </w:r>
      <w:r w:rsidRPr="00376913">
        <w:rPr>
          <w:rFonts w:ascii="Arial" w:eastAsia="Calibri" w:hAnsi="Arial" w:cs="Arial"/>
          <w:bCs/>
          <w:i/>
          <w:iCs/>
          <w:sz w:val="24"/>
          <w:szCs w:val="24"/>
          <w:u w:val="single"/>
        </w:rPr>
        <w:t>quasi</w:t>
      </w:r>
      <w:r w:rsidRPr="00376913">
        <w:rPr>
          <w:rFonts w:ascii="Arial" w:eastAsia="Calibri" w:hAnsi="Arial" w:cs="Arial"/>
          <w:bCs/>
          <w:i/>
          <w:iCs/>
          <w:sz w:val="24"/>
          <w:szCs w:val="24"/>
        </w:rPr>
        <w:t xml:space="preserve"> terminato</w:t>
      </w:r>
      <w:r w:rsidRPr="00376913">
        <w:rPr>
          <w:rFonts w:ascii="Arial" w:eastAsia="Calibri" w:hAnsi="Arial" w:cs="Arial"/>
          <w:bCs/>
          <w:sz w:val="24"/>
          <w:szCs w:val="24"/>
        </w:rPr>
        <w:t>, livelli di rendimento elevati rispetto al passato;</w:t>
      </w:r>
    </w:p>
    <w:p w14:paraId="53288C90" w14:textId="77777777" w:rsidR="00376913" w:rsidRPr="00376913" w:rsidRDefault="00376913" w:rsidP="00376913">
      <w:pPr>
        <w:pStyle w:val="Paragrafoelenco"/>
        <w:numPr>
          <w:ilvl w:val="0"/>
          <w:numId w:val="9"/>
        </w:numPr>
        <w:spacing w:after="60"/>
        <w:jc w:val="both"/>
        <w:rPr>
          <w:rFonts w:ascii="Arial" w:eastAsia="Calibri" w:hAnsi="Arial" w:cs="Arial"/>
          <w:bCs/>
          <w:sz w:val="24"/>
          <w:szCs w:val="24"/>
        </w:rPr>
      </w:pPr>
      <w:r w:rsidRPr="00376913">
        <w:rPr>
          <w:rFonts w:ascii="Arial" w:eastAsia="Calibri" w:hAnsi="Arial" w:cs="Arial"/>
          <w:bCs/>
          <w:sz w:val="24"/>
          <w:szCs w:val="24"/>
          <w:u w:val="single"/>
        </w:rPr>
        <w:t>Alta inflazione</w:t>
      </w:r>
      <w:r w:rsidRPr="00376913">
        <w:rPr>
          <w:rFonts w:ascii="Arial" w:eastAsia="Calibri" w:hAnsi="Arial" w:cs="Arial"/>
          <w:bCs/>
          <w:sz w:val="24"/>
          <w:szCs w:val="24"/>
        </w:rPr>
        <w:t>: vista però in consolidamento, lento e graduale;</w:t>
      </w:r>
    </w:p>
    <w:p w14:paraId="55A54DD2" w14:textId="77777777" w:rsidR="00376913" w:rsidRPr="00376913" w:rsidRDefault="00376913" w:rsidP="00376913">
      <w:pPr>
        <w:pStyle w:val="Paragrafoelenco"/>
        <w:numPr>
          <w:ilvl w:val="0"/>
          <w:numId w:val="9"/>
        </w:numPr>
        <w:spacing w:after="60"/>
        <w:jc w:val="both"/>
        <w:rPr>
          <w:rFonts w:ascii="Arial" w:eastAsia="Calibri" w:hAnsi="Arial" w:cs="Arial"/>
          <w:bCs/>
          <w:sz w:val="24"/>
          <w:szCs w:val="24"/>
        </w:rPr>
      </w:pPr>
      <w:r w:rsidRPr="00376913">
        <w:rPr>
          <w:rFonts w:ascii="Arial" w:eastAsia="Calibri" w:hAnsi="Arial" w:cs="Arial"/>
          <w:bCs/>
          <w:sz w:val="24"/>
          <w:szCs w:val="24"/>
          <w:u w:val="single"/>
        </w:rPr>
        <w:t>Economia e domanda positivi</w:t>
      </w:r>
      <w:r w:rsidRPr="00376913">
        <w:rPr>
          <w:rFonts w:ascii="Arial" w:eastAsia="Calibri" w:hAnsi="Arial" w:cs="Arial"/>
          <w:bCs/>
          <w:sz w:val="24"/>
          <w:szCs w:val="24"/>
        </w:rPr>
        <w:t xml:space="preserve"> (post pandemia), ma vista in contrazione su prosieguo </w:t>
      </w:r>
      <w:proofErr w:type="spellStart"/>
      <w:r w:rsidRPr="00376913">
        <w:rPr>
          <w:rFonts w:ascii="Arial" w:eastAsia="Calibri" w:hAnsi="Arial" w:cs="Arial"/>
          <w:bCs/>
          <w:sz w:val="24"/>
          <w:szCs w:val="24"/>
        </w:rPr>
        <w:t>Ukraina</w:t>
      </w:r>
      <w:proofErr w:type="spellEnd"/>
      <w:r w:rsidRPr="00376913">
        <w:rPr>
          <w:rFonts w:ascii="Arial" w:eastAsia="Calibri" w:hAnsi="Arial" w:cs="Arial"/>
          <w:bCs/>
          <w:sz w:val="24"/>
          <w:szCs w:val="24"/>
        </w:rPr>
        <w:t>;</w:t>
      </w:r>
    </w:p>
    <w:p w14:paraId="41A76581" w14:textId="77777777" w:rsidR="00376913" w:rsidRPr="00376913" w:rsidRDefault="00376913" w:rsidP="00376913">
      <w:pPr>
        <w:pStyle w:val="Paragrafoelenco"/>
        <w:numPr>
          <w:ilvl w:val="0"/>
          <w:numId w:val="9"/>
        </w:numPr>
        <w:spacing w:after="60"/>
        <w:jc w:val="both"/>
        <w:rPr>
          <w:rFonts w:ascii="Arial" w:eastAsia="Calibri" w:hAnsi="Arial" w:cs="Arial"/>
          <w:bCs/>
          <w:sz w:val="24"/>
          <w:szCs w:val="24"/>
        </w:rPr>
      </w:pPr>
      <w:r w:rsidRPr="00376913">
        <w:rPr>
          <w:rFonts w:ascii="Arial" w:eastAsia="Calibri" w:hAnsi="Arial" w:cs="Arial"/>
          <w:bCs/>
          <w:sz w:val="24"/>
          <w:szCs w:val="24"/>
          <w:u w:val="single"/>
        </w:rPr>
        <w:t>Globalizzazione/esternalizzazione produzione</w:t>
      </w:r>
      <w:r w:rsidRPr="00376913">
        <w:rPr>
          <w:rFonts w:ascii="Arial" w:eastAsia="Calibri" w:hAnsi="Arial" w:cs="Arial"/>
          <w:bCs/>
          <w:sz w:val="24"/>
          <w:szCs w:val="24"/>
        </w:rPr>
        <w:t>: riassestamento catene di fornitura con potenziamento delle produzioni locali;</w:t>
      </w:r>
    </w:p>
    <w:p w14:paraId="4DEDD523" w14:textId="77777777" w:rsidR="00376913" w:rsidRPr="00376913" w:rsidRDefault="00376913" w:rsidP="00376913">
      <w:pPr>
        <w:pStyle w:val="Paragrafoelenco"/>
        <w:numPr>
          <w:ilvl w:val="0"/>
          <w:numId w:val="9"/>
        </w:numPr>
        <w:spacing w:after="60"/>
        <w:jc w:val="both"/>
        <w:rPr>
          <w:rFonts w:ascii="Arial" w:eastAsia="Calibri" w:hAnsi="Arial" w:cs="Arial"/>
          <w:bCs/>
          <w:sz w:val="24"/>
          <w:szCs w:val="24"/>
        </w:rPr>
      </w:pPr>
      <w:r w:rsidRPr="00376913">
        <w:rPr>
          <w:rFonts w:ascii="Arial" w:eastAsia="Calibri" w:hAnsi="Arial" w:cs="Arial"/>
          <w:bCs/>
          <w:sz w:val="24"/>
          <w:szCs w:val="24"/>
          <w:u w:val="single"/>
        </w:rPr>
        <w:t>Economia e domanda positiva ma debole</w:t>
      </w:r>
      <w:r w:rsidRPr="00376913">
        <w:rPr>
          <w:rFonts w:ascii="Arial" w:eastAsia="Calibri" w:hAnsi="Arial" w:cs="Arial"/>
          <w:bCs/>
          <w:sz w:val="24"/>
          <w:szCs w:val="24"/>
        </w:rPr>
        <w:t>: in Cina pesa la politica zero-covid, ancora attiva, che rallenta flussi di produzione e commerciali: una volta terminata questa politica, l’economia vola e supporta anche l’occidente;</w:t>
      </w:r>
    </w:p>
    <w:p w14:paraId="3816804C" w14:textId="77777777" w:rsidR="00376913" w:rsidRPr="00376913" w:rsidRDefault="00376913" w:rsidP="00376913">
      <w:pPr>
        <w:pStyle w:val="Paragrafoelenco"/>
        <w:numPr>
          <w:ilvl w:val="0"/>
          <w:numId w:val="9"/>
        </w:numPr>
        <w:spacing w:after="60"/>
        <w:jc w:val="both"/>
        <w:rPr>
          <w:rFonts w:ascii="Arial" w:eastAsia="Calibri" w:hAnsi="Arial" w:cs="Arial"/>
          <w:bCs/>
          <w:sz w:val="24"/>
          <w:szCs w:val="24"/>
        </w:rPr>
      </w:pPr>
      <w:r w:rsidRPr="00376913">
        <w:rPr>
          <w:rFonts w:ascii="Arial" w:eastAsia="Calibri" w:hAnsi="Arial" w:cs="Arial"/>
          <w:bCs/>
          <w:sz w:val="24"/>
          <w:szCs w:val="24"/>
          <w:u w:val="single"/>
        </w:rPr>
        <w:t>Commercio internazionale/catene fornitura/bassi costi di produzione</w:t>
      </w:r>
      <w:r w:rsidRPr="00376913">
        <w:rPr>
          <w:rFonts w:ascii="Arial" w:eastAsia="Calibri" w:hAnsi="Arial" w:cs="Arial"/>
          <w:bCs/>
          <w:sz w:val="24"/>
          <w:szCs w:val="24"/>
        </w:rPr>
        <w:t>: scenario mutevole, in aggiustamento.</w:t>
      </w:r>
    </w:p>
    <w:p w14:paraId="5244C29E" w14:textId="77777777" w:rsidR="00376913" w:rsidRPr="00376913" w:rsidRDefault="00376913" w:rsidP="00376913">
      <w:pPr>
        <w:spacing w:after="60"/>
        <w:jc w:val="both"/>
        <w:rPr>
          <w:rFonts w:ascii="Arial" w:eastAsia="Calibri" w:hAnsi="Arial" w:cs="Arial"/>
          <w:bCs/>
          <w:szCs w:val="24"/>
        </w:rPr>
      </w:pPr>
    </w:p>
    <w:p w14:paraId="32EB0D87" w14:textId="77777777" w:rsidR="00376913" w:rsidRPr="00376913" w:rsidRDefault="00376913" w:rsidP="00376913">
      <w:pPr>
        <w:pStyle w:val="Paragrafoelenco"/>
        <w:spacing w:after="60"/>
        <w:ind w:left="360"/>
        <w:jc w:val="both"/>
        <w:rPr>
          <w:rFonts w:ascii="Arial" w:eastAsia="Calibri" w:hAnsi="Arial" w:cs="Arial"/>
          <w:bCs/>
          <w:sz w:val="24"/>
          <w:szCs w:val="24"/>
        </w:rPr>
      </w:pPr>
      <w:r w:rsidRPr="00376913">
        <w:rPr>
          <w:rFonts w:ascii="Arial" w:eastAsia="Calibri" w:hAnsi="Arial" w:cs="Arial"/>
          <w:b/>
          <w:sz w:val="24"/>
          <w:szCs w:val="24"/>
        </w:rPr>
        <w:t xml:space="preserve">WHAT’S NEXT (DOMANI?): </w:t>
      </w:r>
      <w:r w:rsidRPr="00376913">
        <w:rPr>
          <w:rFonts w:ascii="Arial" w:eastAsia="Calibri" w:hAnsi="Arial" w:cs="Arial"/>
          <w:bCs/>
          <w:sz w:val="24"/>
          <w:szCs w:val="24"/>
        </w:rPr>
        <w:t xml:space="preserve"> </w:t>
      </w:r>
    </w:p>
    <w:p w14:paraId="7E72BD9E" w14:textId="77777777" w:rsidR="00376913" w:rsidRPr="00376913" w:rsidRDefault="00376913" w:rsidP="00376913">
      <w:pPr>
        <w:spacing w:after="60"/>
        <w:ind w:left="360"/>
        <w:jc w:val="both"/>
        <w:rPr>
          <w:rFonts w:ascii="Arial" w:eastAsia="Calibri" w:hAnsi="Arial" w:cs="Arial"/>
          <w:bCs/>
          <w:szCs w:val="24"/>
        </w:rPr>
      </w:pPr>
      <w:r w:rsidRPr="00376913">
        <w:rPr>
          <w:rFonts w:ascii="Arial" w:eastAsia="Calibri" w:hAnsi="Arial" w:cs="Arial"/>
          <w:bCs/>
          <w:szCs w:val="24"/>
        </w:rPr>
        <w:t>L’analisi del contesto mostra alcuni puntelli:</w:t>
      </w:r>
    </w:p>
    <w:p w14:paraId="12E164D7" w14:textId="77777777" w:rsidR="00376913" w:rsidRPr="00376913" w:rsidRDefault="00376913" w:rsidP="00376913">
      <w:pPr>
        <w:pStyle w:val="Paragrafoelenco"/>
        <w:numPr>
          <w:ilvl w:val="0"/>
          <w:numId w:val="8"/>
        </w:numPr>
        <w:spacing w:after="60"/>
        <w:jc w:val="both"/>
        <w:rPr>
          <w:rFonts w:ascii="Arial" w:eastAsia="Calibri" w:hAnsi="Arial" w:cs="Arial"/>
          <w:bCs/>
          <w:sz w:val="24"/>
          <w:szCs w:val="24"/>
        </w:rPr>
      </w:pPr>
      <w:r w:rsidRPr="00376913">
        <w:rPr>
          <w:rFonts w:ascii="Arial" w:eastAsia="Calibri" w:hAnsi="Arial" w:cs="Arial"/>
          <w:bCs/>
          <w:sz w:val="24"/>
          <w:szCs w:val="24"/>
          <w:u w:val="single"/>
        </w:rPr>
        <w:t>Obbligazionario</w:t>
      </w:r>
      <w:r w:rsidRPr="00376913">
        <w:rPr>
          <w:rFonts w:ascii="Arial" w:eastAsia="Calibri" w:hAnsi="Arial" w:cs="Arial"/>
          <w:bCs/>
          <w:sz w:val="24"/>
          <w:szCs w:val="24"/>
        </w:rPr>
        <w:t xml:space="preserve">: le attese sono per un mercato che rimane debole ancora fino alla primavera 2023, quando FED dovrebbe terminare i rialzi, avere rallentato la crescita economica, verificato condizione del mercato del credito; l’Europa nel frattempo continua ad alzare più incisivamente e deve risolvere/capire come risolvere definitivamente il problema dell’approvvigionamento energetico (rigassificatori etc.). </w:t>
      </w:r>
    </w:p>
    <w:p w14:paraId="149C7F02" w14:textId="77777777" w:rsidR="00376913" w:rsidRPr="00376913" w:rsidRDefault="00376913" w:rsidP="00376913">
      <w:pPr>
        <w:pStyle w:val="Paragrafoelenco"/>
        <w:spacing w:after="60"/>
        <w:jc w:val="both"/>
        <w:rPr>
          <w:rFonts w:ascii="Arial" w:eastAsia="Calibri" w:hAnsi="Arial" w:cs="Arial"/>
          <w:bCs/>
          <w:sz w:val="24"/>
          <w:szCs w:val="24"/>
        </w:rPr>
      </w:pPr>
      <w:r w:rsidRPr="00376913">
        <w:rPr>
          <w:rFonts w:ascii="Arial" w:eastAsia="Calibri" w:hAnsi="Arial" w:cs="Arial"/>
          <w:bCs/>
          <w:sz w:val="24"/>
          <w:szCs w:val="24"/>
        </w:rPr>
        <w:t xml:space="preserve">Il </w:t>
      </w:r>
      <w:r w:rsidRPr="00376913">
        <w:rPr>
          <w:rFonts w:ascii="Arial" w:eastAsia="Calibri" w:hAnsi="Arial" w:cs="Arial"/>
          <w:bCs/>
          <w:i/>
          <w:iCs/>
          <w:sz w:val="24"/>
          <w:szCs w:val="24"/>
        </w:rPr>
        <w:t>reset</w:t>
      </w:r>
      <w:r w:rsidRPr="00376913">
        <w:rPr>
          <w:rFonts w:ascii="Arial" w:eastAsia="Calibri" w:hAnsi="Arial" w:cs="Arial"/>
          <w:bCs/>
          <w:sz w:val="24"/>
          <w:szCs w:val="24"/>
        </w:rPr>
        <w:t xml:space="preserve"> osservato, che ha portato un aumento nelle curve medio di 3%, dovrebbe aver consolidato gran parte dei movimenti: nel 2023 non vediamo le perdite obbligazionarie subite nel 2022, si dovrebbe avere un andamento migliore, supportato da livelli di rendimento molto interessanti (anche sui governativi). Sulle porzioni corporate a basso debito (no </w:t>
      </w:r>
      <w:r w:rsidRPr="00376913">
        <w:rPr>
          <w:rFonts w:ascii="Arial" w:eastAsia="Calibri" w:hAnsi="Arial" w:cs="Arial"/>
          <w:bCs/>
          <w:i/>
          <w:iCs/>
          <w:sz w:val="24"/>
          <w:szCs w:val="24"/>
        </w:rPr>
        <w:t>high yield</w:t>
      </w:r>
      <w:r w:rsidRPr="00376913">
        <w:rPr>
          <w:rFonts w:ascii="Arial" w:eastAsia="Calibri" w:hAnsi="Arial" w:cs="Arial"/>
          <w:bCs/>
          <w:sz w:val="24"/>
          <w:szCs w:val="24"/>
        </w:rPr>
        <w:t xml:space="preserve">) vediamo rendimenti ancora più interessanti. Il reset di mercato ha riportato la scala dei rendimenti in linea al periodo precedente la grande crisi finanziaria quando vi era una differenziazione ponderata per il rischio (quindi i rendimenti risultano più scalati tra le varie classi di rischio e non poco differenziati come negli ultimi periodi dove tassi e spread erano compressi al massimo). </w:t>
      </w:r>
      <w:proofErr w:type="spellStart"/>
      <w:r w:rsidRPr="00376913">
        <w:rPr>
          <w:rFonts w:ascii="Arial" w:eastAsia="Calibri" w:hAnsi="Arial" w:cs="Arial"/>
          <w:bCs/>
          <w:sz w:val="24"/>
          <w:szCs w:val="24"/>
        </w:rPr>
        <w:t>Finchè</w:t>
      </w:r>
      <w:proofErr w:type="spellEnd"/>
      <w:r w:rsidRPr="00376913">
        <w:rPr>
          <w:rFonts w:ascii="Arial" w:eastAsia="Calibri" w:hAnsi="Arial" w:cs="Arial"/>
          <w:bCs/>
          <w:sz w:val="24"/>
          <w:szCs w:val="24"/>
        </w:rPr>
        <w:t xml:space="preserve"> FED non finisce rialzo e BCE non configura il tasso target con chiarezza ci possono essere ancora riduzioni di prezzo (intorno a primavera). </w:t>
      </w:r>
    </w:p>
    <w:p w14:paraId="52C12885" w14:textId="77777777" w:rsidR="00376913" w:rsidRPr="00376913" w:rsidRDefault="00376913" w:rsidP="00376913">
      <w:pPr>
        <w:pStyle w:val="Paragrafoelenco"/>
        <w:spacing w:after="60"/>
        <w:jc w:val="both"/>
        <w:rPr>
          <w:rFonts w:ascii="Arial" w:eastAsia="Calibri" w:hAnsi="Arial" w:cs="Arial"/>
          <w:bCs/>
          <w:sz w:val="24"/>
          <w:szCs w:val="24"/>
        </w:rPr>
      </w:pPr>
    </w:p>
    <w:p w14:paraId="573C6A61" w14:textId="77777777" w:rsidR="00376913" w:rsidRPr="00376913" w:rsidRDefault="00376913" w:rsidP="00376913">
      <w:pPr>
        <w:pStyle w:val="Paragrafoelenco"/>
        <w:spacing w:after="60"/>
        <w:jc w:val="both"/>
        <w:rPr>
          <w:rFonts w:ascii="Arial" w:eastAsia="Calibri" w:hAnsi="Arial" w:cs="Arial"/>
          <w:bCs/>
          <w:sz w:val="24"/>
          <w:szCs w:val="24"/>
        </w:rPr>
      </w:pPr>
    </w:p>
    <w:p w14:paraId="43C9F2F0" w14:textId="77777777" w:rsidR="00376913" w:rsidRPr="00376913" w:rsidRDefault="00376913" w:rsidP="00376913">
      <w:pPr>
        <w:pStyle w:val="Paragrafoelenco"/>
        <w:numPr>
          <w:ilvl w:val="0"/>
          <w:numId w:val="8"/>
        </w:numPr>
        <w:spacing w:after="60"/>
        <w:jc w:val="both"/>
        <w:rPr>
          <w:rFonts w:ascii="Arial" w:eastAsia="Calibri" w:hAnsi="Arial" w:cs="Arial"/>
          <w:bCs/>
          <w:sz w:val="24"/>
          <w:szCs w:val="24"/>
        </w:rPr>
      </w:pPr>
      <w:r w:rsidRPr="00376913">
        <w:rPr>
          <w:rFonts w:ascii="Arial" w:eastAsia="Calibri" w:hAnsi="Arial" w:cs="Arial"/>
          <w:bCs/>
          <w:sz w:val="24"/>
          <w:szCs w:val="24"/>
          <w:u w:val="single"/>
        </w:rPr>
        <w:t>azionario</w:t>
      </w:r>
      <w:r w:rsidRPr="00376913">
        <w:rPr>
          <w:rFonts w:ascii="Arial" w:eastAsia="Calibri" w:hAnsi="Arial" w:cs="Arial"/>
          <w:bCs/>
          <w:sz w:val="24"/>
          <w:szCs w:val="24"/>
        </w:rPr>
        <w:t xml:space="preserve"> le attese sono di una volatilità elevata </w:t>
      </w:r>
      <w:proofErr w:type="spellStart"/>
      <w:r w:rsidRPr="00376913">
        <w:rPr>
          <w:rFonts w:ascii="Arial" w:eastAsia="Calibri" w:hAnsi="Arial" w:cs="Arial"/>
          <w:bCs/>
          <w:sz w:val="24"/>
          <w:szCs w:val="24"/>
        </w:rPr>
        <w:t>finchè</w:t>
      </w:r>
      <w:proofErr w:type="spellEnd"/>
      <w:r w:rsidRPr="00376913">
        <w:rPr>
          <w:rFonts w:ascii="Arial" w:eastAsia="Calibri" w:hAnsi="Arial" w:cs="Arial"/>
          <w:bCs/>
          <w:sz w:val="24"/>
          <w:szCs w:val="24"/>
        </w:rPr>
        <w:t xml:space="preserve"> non è terminato chiaramente il quadro FED. Un bull market azionario si potrà verificare solamente lì. Nel frattempo, cautela e privilegiare strategie difensive e Value (</w:t>
      </w:r>
      <w:proofErr w:type="spellStart"/>
      <w:r w:rsidRPr="00376913">
        <w:rPr>
          <w:rFonts w:ascii="Arial" w:eastAsia="Calibri" w:hAnsi="Arial" w:cs="Arial"/>
          <w:bCs/>
          <w:sz w:val="24"/>
          <w:szCs w:val="24"/>
        </w:rPr>
        <w:t>Old</w:t>
      </w:r>
      <w:proofErr w:type="spellEnd"/>
      <w:r w:rsidRPr="00376913">
        <w:rPr>
          <w:rFonts w:ascii="Arial" w:eastAsia="Calibri" w:hAnsi="Arial" w:cs="Arial"/>
          <w:bCs/>
          <w:sz w:val="24"/>
          <w:szCs w:val="24"/>
        </w:rPr>
        <w:t xml:space="preserve"> economy, utilities etc.). La parte tecnologia non è vista recuperare lo smalto di un tempo anche per una crisi che sembra al momento interessare il settore che appare ‘gonfiato’. </w:t>
      </w:r>
    </w:p>
    <w:p w14:paraId="3579CA03" w14:textId="77777777" w:rsidR="00376913" w:rsidRPr="00376913" w:rsidRDefault="00376913" w:rsidP="00376913">
      <w:pPr>
        <w:pStyle w:val="Paragrafoelenco"/>
        <w:spacing w:after="60"/>
        <w:jc w:val="both"/>
        <w:rPr>
          <w:rFonts w:ascii="Arial" w:eastAsia="Calibri" w:hAnsi="Arial" w:cs="Arial"/>
          <w:bCs/>
          <w:sz w:val="24"/>
          <w:szCs w:val="24"/>
        </w:rPr>
      </w:pPr>
    </w:p>
    <w:p w14:paraId="1C47B35A" w14:textId="77777777" w:rsidR="00376913" w:rsidRPr="00376913" w:rsidRDefault="00376913" w:rsidP="00376913">
      <w:pPr>
        <w:pStyle w:val="Paragrafoelenco"/>
        <w:numPr>
          <w:ilvl w:val="0"/>
          <w:numId w:val="8"/>
        </w:numPr>
        <w:spacing w:after="60"/>
        <w:jc w:val="both"/>
        <w:rPr>
          <w:rFonts w:ascii="Arial" w:eastAsia="Calibri" w:hAnsi="Arial" w:cs="Arial"/>
          <w:bCs/>
          <w:sz w:val="24"/>
          <w:szCs w:val="24"/>
        </w:rPr>
      </w:pPr>
      <w:r w:rsidRPr="00376913">
        <w:rPr>
          <w:rFonts w:ascii="Arial" w:eastAsia="Calibri" w:hAnsi="Arial" w:cs="Arial"/>
          <w:bCs/>
          <w:sz w:val="24"/>
          <w:szCs w:val="24"/>
          <w:u w:val="single"/>
        </w:rPr>
        <w:t>Private equity</w:t>
      </w:r>
      <w:r w:rsidRPr="00376913">
        <w:rPr>
          <w:rFonts w:ascii="Arial" w:eastAsia="Calibri" w:hAnsi="Arial" w:cs="Arial"/>
          <w:bCs/>
          <w:sz w:val="24"/>
          <w:szCs w:val="24"/>
        </w:rPr>
        <w:t xml:space="preserve">: al netto di possibili contraccolpi ‘ritardati’ delle dinamiche che hanno interessato i mercati liquidi la classe rimane un target adeguato, salvo verificare le rotazioni dei portafogli sottostanti. </w:t>
      </w:r>
    </w:p>
    <w:p w14:paraId="05B84A82" w14:textId="77777777" w:rsidR="00376913" w:rsidRPr="00376913" w:rsidRDefault="00376913" w:rsidP="00376913">
      <w:pPr>
        <w:pStyle w:val="Paragrafoelenco"/>
        <w:rPr>
          <w:rFonts w:ascii="Arial" w:eastAsia="Calibri" w:hAnsi="Arial" w:cs="Arial"/>
          <w:bCs/>
          <w:sz w:val="24"/>
          <w:szCs w:val="24"/>
        </w:rPr>
      </w:pPr>
    </w:p>
    <w:p w14:paraId="0A0F034B" w14:textId="77777777" w:rsidR="00376913" w:rsidRPr="00376913" w:rsidRDefault="00376913" w:rsidP="00376913">
      <w:pPr>
        <w:pStyle w:val="Paragrafoelenco"/>
        <w:numPr>
          <w:ilvl w:val="0"/>
          <w:numId w:val="8"/>
        </w:numPr>
        <w:spacing w:after="60"/>
        <w:jc w:val="both"/>
        <w:rPr>
          <w:rFonts w:ascii="Arial" w:eastAsia="Calibri" w:hAnsi="Arial" w:cs="Arial"/>
          <w:bCs/>
          <w:sz w:val="24"/>
          <w:szCs w:val="24"/>
        </w:rPr>
      </w:pPr>
      <w:r w:rsidRPr="00376913">
        <w:rPr>
          <w:rFonts w:ascii="Arial" w:eastAsia="Calibri" w:hAnsi="Arial" w:cs="Arial"/>
          <w:bCs/>
          <w:sz w:val="24"/>
          <w:szCs w:val="24"/>
          <w:u w:val="single"/>
        </w:rPr>
        <w:lastRenderedPageBreak/>
        <w:t xml:space="preserve">Private </w:t>
      </w:r>
      <w:proofErr w:type="spellStart"/>
      <w:r w:rsidRPr="00376913">
        <w:rPr>
          <w:rFonts w:ascii="Arial" w:eastAsia="Calibri" w:hAnsi="Arial" w:cs="Arial"/>
          <w:bCs/>
          <w:sz w:val="24"/>
          <w:szCs w:val="24"/>
          <w:u w:val="single"/>
        </w:rPr>
        <w:t>debt</w:t>
      </w:r>
      <w:proofErr w:type="spellEnd"/>
      <w:r w:rsidRPr="00376913">
        <w:rPr>
          <w:rFonts w:ascii="Arial" w:eastAsia="Calibri" w:hAnsi="Arial" w:cs="Arial"/>
          <w:bCs/>
          <w:sz w:val="24"/>
          <w:szCs w:val="24"/>
        </w:rPr>
        <w:t>: al netto di monitorare con attenzione le porzioni di debito più aggressive/</w:t>
      </w:r>
      <w:r w:rsidRPr="00376913">
        <w:rPr>
          <w:rFonts w:ascii="Arial" w:eastAsia="Calibri" w:hAnsi="Arial" w:cs="Arial"/>
          <w:bCs/>
          <w:i/>
          <w:iCs/>
          <w:sz w:val="24"/>
          <w:szCs w:val="24"/>
        </w:rPr>
        <w:t>junior</w:t>
      </w:r>
      <w:r w:rsidRPr="00376913">
        <w:rPr>
          <w:rFonts w:ascii="Arial" w:eastAsia="Calibri" w:hAnsi="Arial" w:cs="Arial"/>
          <w:bCs/>
          <w:sz w:val="24"/>
          <w:szCs w:val="24"/>
        </w:rPr>
        <w:t xml:space="preserve">, che potrebbero risentire dell’aumento dei tassi e dei default, le porzioni </w:t>
      </w:r>
      <w:r w:rsidRPr="00376913">
        <w:rPr>
          <w:rFonts w:ascii="Arial" w:eastAsia="Calibri" w:hAnsi="Arial" w:cs="Arial"/>
          <w:bCs/>
          <w:i/>
          <w:iCs/>
          <w:sz w:val="24"/>
          <w:szCs w:val="24"/>
        </w:rPr>
        <w:t>senior</w:t>
      </w:r>
      <w:r w:rsidRPr="00376913">
        <w:rPr>
          <w:rFonts w:ascii="Arial" w:eastAsia="Calibri" w:hAnsi="Arial" w:cs="Arial"/>
          <w:bCs/>
          <w:sz w:val="24"/>
          <w:szCs w:val="24"/>
        </w:rPr>
        <w:t xml:space="preserve"> appaiono sostenibili. </w:t>
      </w:r>
    </w:p>
    <w:p w14:paraId="7CFE1235" w14:textId="77777777" w:rsidR="00376913" w:rsidRPr="00376913" w:rsidRDefault="00376913" w:rsidP="00376913">
      <w:pPr>
        <w:pStyle w:val="Paragrafoelenco"/>
        <w:spacing w:after="60"/>
        <w:jc w:val="both"/>
        <w:rPr>
          <w:rFonts w:ascii="Arial" w:eastAsia="Calibri" w:hAnsi="Arial" w:cs="Arial"/>
          <w:bCs/>
          <w:sz w:val="24"/>
          <w:szCs w:val="24"/>
        </w:rPr>
      </w:pPr>
    </w:p>
    <w:p w14:paraId="3A0D83C6" w14:textId="77777777" w:rsidR="00376913" w:rsidRPr="00376913" w:rsidRDefault="00376913" w:rsidP="00376913">
      <w:pPr>
        <w:pStyle w:val="Paragrafoelenco"/>
        <w:numPr>
          <w:ilvl w:val="0"/>
          <w:numId w:val="8"/>
        </w:numPr>
        <w:spacing w:after="60"/>
        <w:jc w:val="both"/>
        <w:rPr>
          <w:rFonts w:ascii="Arial" w:eastAsia="Calibri" w:hAnsi="Arial" w:cs="Arial"/>
          <w:bCs/>
          <w:sz w:val="24"/>
          <w:szCs w:val="24"/>
        </w:rPr>
      </w:pPr>
      <w:r w:rsidRPr="00376913">
        <w:rPr>
          <w:rFonts w:ascii="Arial" w:eastAsia="Calibri" w:hAnsi="Arial" w:cs="Arial"/>
          <w:bCs/>
          <w:sz w:val="24"/>
          <w:szCs w:val="24"/>
          <w:u w:val="single"/>
        </w:rPr>
        <w:t>Real Estate</w:t>
      </w:r>
      <w:r w:rsidRPr="00376913">
        <w:rPr>
          <w:rFonts w:ascii="Arial" w:eastAsia="Calibri" w:hAnsi="Arial" w:cs="Arial"/>
          <w:bCs/>
          <w:sz w:val="24"/>
          <w:szCs w:val="24"/>
        </w:rPr>
        <w:t xml:space="preserve">: il comparto più complesso su cui riuscire a prevedere l’effetto del </w:t>
      </w:r>
      <w:r w:rsidRPr="00376913">
        <w:rPr>
          <w:rFonts w:ascii="Arial" w:eastAsia="Calibri" w:hAnsi="Arial" w:cs="Arial"/>
          <w:bCs/>
          <w:i/>
          <w:iCs/>
          <w:sz w:val="24"/>
          <w:szCs w:val="24"/>
          <w:u w:val="single"/>
        </w:rPr>
        <w:t>reset</w:t>
      </w:r>
      <w:r w:rsidRPr="00376913">
        <w:rPr>
          <w:rFonts w:ascii="Arial" w:eastAsia="Calibri" w:hAnsi="Arial" w:cs="Arial"/>
          <w:bCs/>
          <w:sz w:val="24"/>
          <w:szCs w:val="24"/>
        </w:rPr>
        <w:t xml:space="preserve"> dei tassi. Assunta la contrazione del differenziale di rendimento coi governativi, l’aumento dei costi della leva, aumenta il premio per il rischio potenziale richiesto dagli investitori per investire nella classe rispetto al </w:t>
      </w:r>
      <w:proofErr w:type="gramStart"/>
      <w:r w:rsidRPr="00376913">
        <w:rPr>
          <w:rFonts w:ascii="Arial" w:eastAsia="Calibri" w:hAnsi="Arial" w:cs="Arial"/>
          <w:bCs/>
          <w:sz w:val="24"/>
          <w:szCs w:val="24"/>
        </w:rPr>
        <w:t>passato,  quindi</w:t>
      </w:r>
      <w:proofErr w:type="gramEnd"/>
      <w:r w:rsidRPr="00376913">
        <w:rPr>
          <w:rFonts w:ascii="Arial" w:eastAsia="Calibri" w:hAnsi="Arial" w:cs="Arial"/>
          <w:bCs/>
          <w:sz w:val="24"/>
          <w:szCs w:val="24"/>
        </w:rPr>
        <w:t xml:space="preserve"> è ipotizzabile un aumento nei rendimenti. Gli aumenti dell’inflazione possono portare ad un aumento nei flussi dei canoni a seconda dei meccanismi di indicizzazione, ma se trasferiti integralmente nella prassi insieme agli aumenti nei tassi non dovrebbero avere impatti positivi. </w:t>
      </w:r>
    </w:p>
    <w:p w14:paraId="33851AF9" w14:textId="77777777" w:rsidR="00376913" w:rsidRPr="00376913" w:rsidRDefault="00376913" w:rsidP="00376913">
      <w:pPr>
        <w:pStyle w:val="Paragrafoelenco"/>
        <w:rPr>
          <w:rFonts w:ascii="Arial" w:eastAsia="Calibri" w:hAnsi="Arial" w:cs="Arial"/>
          <w:bCs/>
          <w:sz w:val="24"/>
          <w:szCs w:val="24"/>
        </w:rPr>
      </w:pPr>
    </w:p>
    <w:p w14:paraId="293B89CC" w14:textId="14688658" w:rsidR="00376913" w:rsidRPr="00376913" w:rsidRDefault="00376913" w:rsidP="00376913">
      <w:pPr>
        <w:rPr>
          <w:rFonts w:ascii="Arial" w:hAnsi="Arial" w:cs="Arial"/>
          <w:szCs w:val="24"/>
        </w:rPr>
      </w:pPr>
      <w:r w:rsidRPr="00376913">
        <w:rPr>
          <w:rFonts w:ascii="Arial" w:eastAsia="Calibri" w:hAnsi="Arial" w:cs="Arial"/>
          <w:bCs/>
          <w:szCs w:val="24"/>
          <w:u w:val="single"/>
        </w:rPr>
        <w:t>Infrastrutture</w:t>
      </w:r>
      <w:r w:rsidRPr="00376913">
        <w:rPr>
          <w:rFonts w:ascii="Arial" w:eastAsia="Calibri" w:hAnsi="Arial" w:cs="Arial"/>
          <w:bCs/>
          <w:szCs w:val="24"/>
        </w:rPr>
        <w:t xml:space="preserve">: classe di investimento secolare, per ampiezza di domanda, crescita offerta, stabilità nei parametri di rendimento e rischio. Investimenti di sistema più che mai, con l’implementazione dei piani di ripresa nazionale. Spunti </w:t>
      </w:r>
      <w:r w:rsidRPr="00376913">
        <w:rPr>
          <w:rFonts w:ascii="Arial" w:eastAsia="Calibri" w:hAnsi="Arial" w:cs="Arial"/>
          <w:bCs/>
          <w:i/>
          <w:iCs/>
          <w:szCs w:val="24"/>
        </w:rPr>
        <w:t xml:space="preserve">mission </w:t>
      </w:r>
      <w:proofErr w:type="spellStart"/>
      <w:r w:rsidRPr="00376913">
        <w:rPr>
          <w:rFonts w:ascii="Arial" w:eastAsia="Calibri" w:hAnsi="Arial" w:cs="Arial"/>
          <w:bCs/>
          <w:i/>
          <w:iCs/>
          <w:szCs w:val="24"/>
        </w:rPr>
        <w:t>related</w:t>
      </w:r>
      <w:proofErr w:type="spellEnd"/>
      <w:r w:rsidRPr="00376913">
        <w:rPr>
          <w:rFonts w:ascii="Arial" w:eastAsia="Calibri" w:hAnsi="Arial" w:cs="Arial"/>
          <w:bCs/>
          <w:szCs w:val="24"/>
        </w:rPr>
        <w:t>.</w:t>
      </w:r>
    </w:p>
    <w:sectPr w:rsidR="00376913" w:rsidRPr="003769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 AG Medium">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6D73"/>
    <w:multiLevelType w:val="hybridMultilevel"/>
    <w:tmpl w:val="B0FC57C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A2CA5"/>
    <w:multiLevelType w:val="hybridMultilevel"/>
    <w:tmpl w:val="29120F24"/>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777D2B"/>
    <w:multiLevelType w:val="hybridMultilevel"/>
    <w:tmpl w:val="5EC8B5C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FA4C16"/>
    <w:multiLevelType w:val="hybridMultilevel"/>
    <w:tmpl w:val="CF429E2C"/>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7F6E4F"/>
    <w:multiLevelType w:val="hybridMultilevel"/>
    <w:tmpl w:val="37948C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A011ED"/>
    <w:multiLevelType w:val="hybridMultilevel"/>
    <w:tmpl w:val="EFC4BAAA"/>
    <w:lvl w:ilvl="0" w:tplc="FF224A6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D34116"/>
    <w:multiLevelType w:val="hybridMultilevel"/>
    <w:tmpl w:val="29120F24"/>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5E81D18"/>
    <w:multiLevelType w:val="hybridMultilevel"/>
    <w:tmpl w:val="98E4C7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D0A1C37"/>
    <w:multiLevelType w:val="hybridMultilevel"/>
    <w:tmpl w:val="5EC8B5CA"/>
    <w:lvl w:ilvl="0" w:tplc="0410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7336251">
    <w:abstractNumId w:val="7"/>
  </w:num>
  <w:num w:numId="2" w16cid:durableId="2129659870">
    <w:abstractNumId w:val="3"/>
  </w:num>
  <w:num w:numId="3" w16cid:durableId="1985158102">
    <w:abstractNumId w:val="6"/>
  </w:num>
  <w:num w:numId="4" w16cid:durableId="568542390">
    <w:abstractNumId w:val="8"/>
  </w:num>
  <w:num w:numId="5" w16cid:durableId="933055224">
    <w:abstractNumId w:val="5"/>
  </w:num>
  <w:num w:numId="6" w16cid:durableId="1603874412">
    <w:abstractNumId w:val="2"/>
  </w:num>
  <w:num w:numId="7" w16cid:durableId="947472313">
    <w:abstractNumId w:val="0"/>
  </w:num>
  <w:num w:numId="8" w16cid:durableId="1125386855">
    <w:abstractNumId w:val="4"/>
  </w:num>
  <w:num w:numId="9" w16cid:durableId="1378050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13"/>
    <w:rsid w:val="00087AD7"/>
    <w:rsid w:val="003769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E3C1"/>
  <w15:chartTrackingRefBased/>
  <w15:docId w15:val="{C86BB42B-C8D0-457E-AD6A-499F1A7D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6913"/>
    <w:pPr>
      <w:spacing w:after="0" w:line="240" w:lineRule="auto"/>
    </w:pPr>
    <w:rPr>
      <w:rFonts w:ascii="IB AG Medium" w:eastAsia="Times New Roman" w:hAnsi="IB AG Medium" w:cs="Times New Roman"/>
      <w:kern w:val="28"/>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6913"/>
    <w:pPr>
      <w:spacing w:after="200" w:line="276"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1889</Words>
  <Characters>10770</Characters>
  <Application>Microsoft Office Word</Application>
  <DocSecurity>0</DocSecurity>
  <Lines>89</Lines>
  <Paragraphs>25</Paragraphs>
  <ScaleCrop>false</ScaleCrop>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adepp</dc:creator>
  <cp:keywords/>
  <dc:description/>
  <cp:lastModifiedBy>adepp</cp:lastModifiedBy>
  <cp:revision>1</cp:revision>
  <dcterms:created xsi:type="dcterms:W3CDTF">2022-12-01T13:28:00Z</dcterms:created>
  <dcterms:modified xsi:type="dcterms:W3CDTF">2022-12-01T13:32:00Z</dcterms:modified>
</cp:coreProperties>
</file>